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CA2601">
        <w:t>Februar 2019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6" w:history="1">
        <w:r w:rsidR="002A2AF4">
          <w:rPr>
            <w:rStyle w:val="Hyperlink"/>
          </w:rPr>
          <w:t>https://www.meilhaus.de/infos/news/presse/2019-q1</w:t>
        </w:r>
      </w:hyperlink>
      <w:r w:rsidR="00007979" w:rsidRPr="00A849A3">
        <w:br/>
      </w:r>
      <w:r w:rsidR="008A4211" w:rsidRPr="008A4211">
        <w:t>PR05-2019-Siglent-SDS-5000</w:t>
      </w:r>
      <w:r w:rsidR="00007979" w:rsidRPr="00A849A3">
        <w:t>.docx</w:t>
      </w:r>
      <w:r w:rsidR="00007979" w:rsidRPr="00A849A3">
        <w:br/>
      </w:r>
      <w:r w:rsidR="008A4211" w:rsidRPr="008A4211">
        <w:t>PR05-2019-Siglent-SDS-5000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8A4211" w:rsidRPr="008A4211">
        <w:t>PR05-2019-Siglent-SDS-5000</w:t>
      </w:r>
      <w:r w:rsidR="00406161">
        <w:t>-2</w:t>
      </w:r>
      <w:r w:rsidR="00007979" w:rsidRPr="00A849A3">
        <w:t>.jpg</w:t>
      </w:r>
    </w:p>
    <w:p w:rsidR="0031171F" w:rsidRPr="002A00F8" w:rsidRDefault="0031171F" w:rsidP="006E0FE3">
      <w:pPr>
        <w:pStyle w:val="PR-Info1"/>
        <w:rPr>
          <w:lang w:val="en-US"/>
        </w:rPr>
      </w:pPr>
      <w:proofErr w:type="spellStart"/>
      <w:r w:rsidRPr="002A00F8">
        <w:rPr>
          <w:b/>
          <w:lang w:val="en-US"/>
        </w:rPr>
        <w:t>Thema</w:t>
      </w:r>
      <w:proofErr w:type="spellEnd"/>
      <w:r w:rsidRPr="002A00F8">
        <w:rPr>
          <w:b/>
          <w:lang w:val="en-US"/>
        </w:rPr>
        <w:t>/Subject:</w:t>
      </w:r>
      <w:r w:rsidRPr="002A00F8">
        <w:rPr>
          <w:lang w:val="en-US"/>
        </w:rPr>
        <w:tab/>
      </w:r>
      <w:proofErr w:type="spellStart"/>
      <w:r w:rsidR="002A00F8" w:rsidRPr="002A00F8">
        <w:rPr>
          <w:lang w:val="en-US"/>
        </w:rPr>
        <w:t>Siglent</w:t>
      </w:r>
      <w:proofErr w:type="spellEnd"/>
      <w:r w:rsidR="002A00F8" w:rsidRPr="002A00F8">
        <w:rPr>
          <w:lang w:val="en-US"/>
        </w:rPr>
        <w:t xml:space="preserve"> SDS5000X-Serie </w:t>
      </w:r>
      <w:r w:rsidR="002A00F8">
        <w:rPr>
          <w:lang w:val="en-US"/>
        </w:rPr>
        <w:t xml:space="preserve">Super Phosphor </w:t>
      </w:r>
      <w:proofErr w:type="spellStart"/>
      <w:r w:rsidR="002A00F8">
        <w:rPr>
          <w:lang w:val="en-US"/>
        </w:rPr>
        <w:t>Oszilloskope</w:t>
      </w:r>
      <w:proofErr w:type="spellEnd"/>
      <w:r w:rsidR="002A00F8">
        <w:rPr>
          <w:lang w:val="en-US"/>
        </w:rPr>
        <w:t xml:space="preserve"> </w:t>
      </w:r>
      <w:proofErr w:type="spellStart"/>
      <w:r w:rsidR="005E31DB" w:rsidRPr="002A00F8">
        <w:rPr>
          <w:lang w:val="en-US"/>
        </w:rPr>
        <w:t>b</w:t>
      </w:r>
      <w:r w:rsidR="00867422" w:rsidRPr="002A00F8">
        <w:rPr>
          <w:lang w:val="en-US"/>
        </w:rPr>
        <w:t>ei</w:t>
      </w:r>
      <w:proofErr w:type="spellEnd"/>
      <w:r w:rsidR="00867422" w:rsidRPr="002A00F8">
        <w:rPr>
          <w:lang w:val="en-US"/>
        </w:rPr>
        <w:t xml:space="preserve"> Meilhaus Electronic GmbH</w:t>
      </w:r>
      <w:r w:rsidRPr="002A00F8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2A00F8" w:rsidP="006E0FE3">
      <w:pPr>
        <w:pStyle w:val="PR-Head1"/>
      </w:pPr>
      <w:r>
        <w:t>General-</w:t>
      </w:r>
      <w:proofErr w:type="spellStart"/>
      <w:r>
        <w:t>Purpose</w:t>
      </w:r>
      <w:proofErr w:type="spellEnd"/>
      <w:r>
        <w:t>-Messtechnik für die Einstiegsklasse</w:t>
      </w:r>
    </w:p>
    <w:p w:rsidR="00EF3E9B" w:rsidRPr="0031171F" w:rsidRDefault="004A51A5" w:rsidP="00476FA9">
      <w:pPr>
        <w:pStyle w:val="PR-Head2"/>
      </w:pPr>
      <w:r w:rsidRPr="004A51A5">
        <w:t xml:space="preserve">Meilhaus Electronic wird deutscher Distributor von </w:t>
      </w:r>
      <w:proofErr w:type="spellStart"/>
      <w:r w:rsidR="00EA2C08">
        <w:t>Siglent</w:t>
      </w:r>
      <w:proofErr w:type="spellEnd"/>
      <w:r>
        <w:t>.</w:t>
      </w:r>
      <w:r w:rsidR="00622F7E">
        <w:t xml:space="preserve"> </w:t>
      </w:r>
    </w:p>
    <w:p w:rsidR="00B34A50" w:rsidRDefault="00171CFA" w:rsidP="00B34A50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CA2601">
        <w:rPr>
          <w:b/>
        </w:rPr>
        <w:t>Februar 2019</w:t>
      </w:r>
      <w:r w:rsidRPr="00084111">
        <w:rPr>
          <w:b/>
        </w:rPr>
        <w:t xml:space="preserve"> – </w:t>
      </w:r>
      <w:r w:rsidR="00A57C13" w:rsidRPr="00A57C13">
        <w:rPr>
          <w:b/>
        </w:rPr>
        <w:t xml:space="preserve">Mit den Produkten des Herstellers </w:t>
      </w:r>
      <w:proofErr w:type="spellStart"/>
      <w:r w:rsidR="00B34A50">
        <w:rPr>
          <w:b/>
        </w:rPr>
        <w:t>Siglent</w:t>
      </w:r>
      <w:proofErr w:type="spellEnd"/>
      <w:r w:rsidR="00A57C13" w:rsidRPr="00A57C13">
        <w:rPr>
          <w:b/>
        </w:rPr>
        <w:t xml:space="preserve"> erweitert di</w:t>
      </w:r>
      <w:r w:rsidR="00B34A50">
        <w:rPr>
          <w:b/>
        </w:rPr>
        <w:t>e Meilhaus Electronic GmbH ihr Produkts</w:t>
      </w:r>
      <w:r w:rsidR="00A57C13" w:rsidRPr="00A57C13">
        <w:rPr>
          <w:b/>
        </w:rPr>
        <w:t xml:space="preserve">pektrum </w:t>
      </w:r>
      <w:r w:rsidR="00B34A50">
        <w:rPr>
          <w:b/>
        </w:rPr>
        <w:t>im Bereich General-</w:t>
      </w:r>
      <w:proofErr w:type="spellStart"/>
      <w:r w:rsidR="00B34A50">
        <w:rPr>
          <w:b/>
        </w:rPr>
        <w:t>Purpose</w:t>
      </w:r>
      <w:proofErr w:type="spellEnd"/>
      <w:r w:rsidR="00B34A50">
        <w:rPr>
          <w:b/>
        </w:rPr>
        <w:t>-Messtechnik</w:t>
      </w:r>
      <w:r w:rsidR="008F09EE">
        <w:rPr>
          <w:b/>
        </w:rPr>
        <w:t xml:space="preserve">. </w:t>
      </w:r>
      <w:proofErr w:type="spellStart"/>
      <w:r w:rsidR="008F09EE">
        <w:rPr>
          <w:b/>
        </w:rPr>
        <w:t>Siglent</w:t>
      </w:r>
      <w:proofErr w:type="spellEnd"/>
      <w:r w:rsidR="008F09EE">
        <w:rPr>
          <w:b/>
        </w:rPr>
        <w:t xml:space="preserve"> </w:t>
      </w:r>
      <w:r w:rsidR="006A6D93">
        <w:rPr>
          <w:b/>
        </w:rPr>
        <w:t xml:space="preserve">produziert leistungsfähige und qualitativ hochwertige Geräte für die Einstiegsklasse. Das Spektrum umfasst </w:t>
      </w:r>
      <w:r w:rsidR="00B34A50" w:rsidRPr="007D5366">
        <w:rPr>
          <w:b/>
        </w:rPr>
        <w:t xml:space="preserve">Oszilloskope, </w:t>
      </w:r>
      <w:r w:rsidR="00B34A50" w:rsidRPr="00522C51">
        <w:rPr>
          <w:b/>
        </w:rPr>
        <w:t>Signalgeneratoren</w:t>
      </w:r>
      <w:r w:rsidR="00B34A50" w:rsidRPr="007D5366">
        <w:rPr>
          <w:b/>
        </w:rPr>
        <w:t xml:space="preserve">, </w:t>
      </w:r>
      <w:r w:rsidR="00B34A50" w:rsidRPr="00522C51">
        <w:rPr>
          <w:b/>
        </w:rPr>
        <w:t>Spektrum</w:t>
      </w:r>
      <w:r w:rsidR="006A6D93" w:rsidRPr="00522C51">
        <w:rPr>
          <w:b/>
        </w:rPr>
        <w:t>-Analysatoren</w:t>
      </w:r>
      <w:r w:rsidR="006A6D93">
        <w:rPr>
          <w:b/>
        </w:rPr>
        <w:t xml:space="preserve">, </w:t>
      </w:r>
      <w:r w:rsidR="00B34A50" w:rsidRPr="007D5366">
        <w:rPr>
          <w:b/>
        </w:rPr>
        <w:t>Labor-</w:t>
      </w:r>
      <w:r w:rsidR="00B34A50" w:rsidRPr="00522C51">
        <w:rPr>
          <w:b/>
        </w:rPr>
        <w:t>Stromversorgungen</w:t>
      </w:r>
      <w:r w:rsidR="00B34A50" w:rsidRPr="007D5366">
        <w:rPr>
          <w:b/>
        </w:rPr>
        <w:t xml:space="preserve"> </w:t>
      </w:r>
      <w:r w:rsidR="006A6D93">
        <w:rPr>
          <w:b/>
        </w:rPr>
        <w:t>und das entsprechende</w:t>
      </w:r>
      <w:r w:rsidR="00B34A50" w:rsidRPr="007D5366">
        <w:rPr>
          <w:b/>
        </w:rPr>
        <w:t xml:space="preserve"> Zubehör.</w:t>
      </w:r>
      <w:r w:rsidR="00B34A50">
        <w:rPr>
          <w:b/>
        </w:rPr>
        <w:t xml:space="preserve"> </w:t>
      </w:r>
      <w:r w:rsidR="006A6D93">
        <w:rPr>
          <w:b/>
        </w:rPr>
        <w:t xml:space="preserve">Ab sofort erhältlich bei Meilhaus Electronic </w:t>
      </w:r>
      <w:r w:rsidR="008A4211">
        <w:rPr>
          <w:b/>
        </w:rPr>
        <w:t xml:space="preserve">sind </w:t>
      </w:r>
      <w:r w:rsidR="008A4211" w:rsidRPr="00952CC4">
        <w:rPr>
          <w:b/>
        </w:rPr>
        <w:t xml:space="preserve">2-/4-Kanal Super Phosphor Oszilloskope </w:t>
      </w:r>
      <w:r w:rsidR="008A4211">
        <w:rPr>
          <w:b/>
        </w:rPr>
        <w:t>von</w:t>
      </w:r>
      <w:r w:rsidR="008A4211" w:rsidRPr="00952CC4">
        <w:rPr>
          <w:b/>
        </w:rPr>
        <w:t xml:space="preserve"> 200</w:t>
      </w:r>
      <w:r w:rsidR="008A4211">
        <w:rPr>
          <w:b/>
        </w:rPr>
        <w:t xml:space="preserve"> MHz bis </w:t>
      </w:r>
      <w:r w:rsidR="00A904C6">
        <w:rPr>
          <w:b/>
        </w:rPr>
        <w:t>1 GHz, Handheld-Oszilloskope</w:t>
      </w:r>
      <w:r w:rsidR="008A4211">
        <w:rPr>
          <w:b/>
        </w:rPr>
        <w:t>,</w:t>
      </w:r>
      <w:r w:rsidR="00860B2B">
        <w:rPr>
          <w:b/>
        </w:rPr>
        <w:t xml:space="preserve"> HF-</w:t>
      </w:r>
      <w:r w:rsidR="00860B2B" w:rsidRPr="00A904C6">
        <w:rPr>
          <w:b/>
        </w:rPr>
        <w:t>Signal-Generatoren bis 3,2 GHz</w:t>
      </w:r>
      <w:r w:rsidR="00860B2B">
        <w:rPr>
          <w:b/>
        </w:rPr>
        <w:t xml:space="preserve">, </w:t>
      </w:r>
      <w:r w:rsidR="00860B2B" w:rsidRPr="00860B2B">
        <w:rPr>
          <w:b/>
        </w:rPr>
        <w:t xml:space="preserve">Funktions-/Arbiträr-Signal-Generatoren </w:t>
      </w:r>
      <w:r w:rsidR="00860B2B">
        <w:rPr>
          <w:b/>
        </w:rPr>
        <w:t>von 3</w:t>
      </w:r>
      <w:r w:rsidR="00860B2B" w:rsidRPr="00860B2B">
        <w:rPr>
          <w:b/>
        </w:rPr>
        <w:t xml:space="preserve">0 </w:t>
      </w:r>
      <w:r w:rsidR="00860B2B">
        <w:rPr>
          <w:b/>
        </w:rPr>
        <w:t xml:space="preserve">bis 120 MHz, </w:t>
      </w:r>
      <w:r w:rsidR="00860B2B" w:rsidRPr="00860B2B">
        <w:rPr>
          <w:b/>
        </w:rPr>
        <w:t>Puls- und Signal-Generator bis 500 MHz</w:t>
      </w:r>
      <w:r w:rsidR="00860B2B">
        <w:rPr>
          <w:b/>
        </w:rPr>
        <w:t xml:space="preserve">, </w:t>
      </w:r>
      <w:r w:rsidR="00860B2B" w:rsidRPr="00A904C6">
        <w:rPr>
          <w:b/>
        </w:rPr>
        <w:t>Spektrum-Analysatoren bis 3,2 GHz</w:t>
      </w:r>
      <w:r w:rsidR="00860B2B">
        <w:rPr>
          <w:b/>
        </w:rPr>
        <w:t>,</w:t>
      </w:r>
      <w:r w:rsidR="00860B2B" w:rsidRPr="00A904C6">
        <w:t xml:space="preserve"> </w:t>
      </w:r>
      <w:r w:rsidR="00860B2B" w:rsidRPr="00A904C6">
        <w:rPr>
          <w:b/>
        </w:rPr>
        <w:t>Spektrum- und Vek</w:t>
      </w:r>
      <w:r w:rsidR="00860B2B">
        <w:rPr>
          <w:b/>
        </w:rPr>
        <w:t>tor-Netzwerk-Analysator bis 1,5 GHz,</w:t>
      </w:r>
      <w:r w:rsidR="00A904C6">
        <w:rPr>
          <w:b/>
        </w:rPr>
        <w:t xml:space="preserve"> 4</w:t>
      </w:r>
      <w:r w:rsidR="00A904C6" w:rsidRPr="00A904C6">
        <w:rPr>
          <w:b/>
        </w:rPr>
        <w:t>½-</w:t>
      </w:r>
      <w:r w:rsidR="00A904C6">
        <w:rPr>
          <w:b/>
        </w:rPr>
        <w:t xml:space="preserve"> bis</w:t>
      </w:r>
      <w:r w:rsidR="008A4211">
        <w:rPr>
          <w:b/>
        </w:rPr>
        <w:t xml:space="preserve"> </w:t>
      </w:r>
      <w:r w:rsidR="00A904C6" w:rsidRPr="00A904C6">
        <w:rPr>
          <w:b/>
        </w:rPr>
        <w:t>6½-stellige Digital-Multimeter</w:t>
      </w:r>
      <w:r w:rsidR="00860B2B">
        <w:rPr>
          <w:b/>
        </w:rPr>
        <w:t xml:space="preserve"> und </w:t>
      </w:r>
      <w:r w:rsidR="00A904C6">
        <w:rPr>
          <w:b/>
        </w:rPr>
        <w:t>progra</w:t>
      </w:r>
      <w:r w:rsidR="00860B2B">
        <w:rPr>
          <w:b/>
        </w:rPr>
        <w:t>mmierbare (3-fach) DC-Netzteile. Hinzu kommen Tastköpfe, Isol</w:t>
      </w:r>
      <w:r w:rsidR="00522C51">
        <w:rPr>
          <w:b/>
        </w:rPr>
        <w:t xml:space="preserve">atoren, Anschlüsse, Einbau-Kits und eine Testkarte. </w:t>
      </w:r>
    </w:p>
    <w:p w:rsidR="006848CA" w:rsidRDefault="002A1011" w:rsidP="009A2328">
      <w:pPr>
        <w:pStyle w:val="PR-FT"/>
        <w:rPr>
          <w:sz w:val="22"/>
          <w:szCs w:val="22"/>
        </w:rPr>
      </w:pPr>
      <w:r w:rsidRPr="008E60D0">
        <w:rPr>
          <w:sz w:val="22"/>
          <w:szCs w:val="22"/>
        </w:rPr>
        <w:t xml:space="preserve">Die </w:t>
      </w:r>
      <w:proofErr w:type="spellStart"/>
      <w:r w:rsidRPr="008E60D0">
        <w:rPr>
          <w:sz w:val="22"/>
          <w:szCs w:val="22"/>
        </w:rPr>
        <w:t>siglent’sche</w:t>
      </w:r>
      <w:proofErr w:type="spellEnd"/>
      <w:r w:rsidRPr="008E60D0">
        <w:rPr>
          <w:sz w:val="22"/>
          <w:szCs w:val="22"/>
        </w:rPr>
        <w:t xml:space="preserve"> Oszilloskop-Familie</w:t>
      </w:r>
      <w:r w:rsidR="00B22719" w:rsidRPr="008E60D0">
        <w:rPr>
          <w:sz w:val="22"/>
          <w:szCs w:val="22"/>
        </w:rPr>
        <w:t xml:space="preserve"> </w:t>
      </w:r>
      <w:r w:rsidR="00CB3689" w:rsidRPr="008E60D0">
        <w:rPr>
          <w:sz w:val="22"/>
          <w:szCs w:val="22"/>
        </w:rPr>
        <w:t xml:space="preserve">wurde vor kurzem erweitert und </w:t>
      </w:r>
      <w:r w:rsidR="00B22719" w:rsidRPr="008E60D0">
        <w:rPr>
          <w:sz w:val="22"/>
          <w:szCs w:val="22"/>
        </w:rPr>
        <w:t>besteht</w:t>
      </w:r>
      <w:r w:rsidR="00CB3689" w:rsidRPr="008E60D0">
        <w:rPr>
          <w:sz w:val="22"/>
          <w:szCs w:val="22"/>
        </w:rPr>
        <w:t xml:space="preserve"> nun</w:t>
      </w:r>
      <w:r w:rsidR="00B22719" w:rsidRPr="008E60D0">
        <w:rPr>
          <w:sz w:val="22"/>
          <w:szCs w:val="22"/>
        </w:rPr>
        <w:t xml:space="preserve"> aus den Serien </w:t>
      </w:r>
      <w:r w:rsidR="00522B91" w:rsidRPr="008E60D0">
        <w:rPr>
          <w:sz w:val="22"/>
          <w:szCs w:val="22"/>
        </w:rPr>
        <w:t>SDS1000X, SDS2000X</w:t>
      </w:r>
      <w:r w:rsidR="001B0514" w:rsidRPr="008E60D0">
        <w:rPr>
          <w:sz w:val="22"/>
          <w:szCs w:val="22"/>
        </w:rPr>
        <w:t>, SDS5000X</w:t>
      </w:r>
      <w:r w:rsidR="00CB3689" w:rsidRPr="008E60D0">
        <w:rPr>
          <w:sz w:val="22"/>
          <w:szCs w:val="22"/>
        </w:rPr>
        <w:t xml:space="preserve">. </w:t>
      </w:r>
      <w:r w:rsidR="00D96C21" w:rsidRPr="00D96C21">
        <w:rPr>
          <w:sz w:val="22"/>
          <w:szCs w:val="22"/>
        </w:rPr>
        <w:t>Die neue SDS5000X Serie ist mit einer Bandbreite bis zu 1GHz, einer maximalen Abtastrate von 5 GS/s und einem maximalen Erfassungssp</w:t>
      </w:r>
      <w:r w:rsidR="00A6177A">
        <w:rPr>
          <w:sz w:val="22"/>
          <w:szCs w:val="22"/>
        </w:rPr>
        <w:t xml:space="preserve">eicher von 250 </w:t>
      </w:r>
      <w:proofErr w:type="spellStart"/>
      <w:r w:rsidR="00A6177A">
        <w:rPr>
          <w:sz w:val="22"/>
          <w:szCs w:val="22"/>
        </w:rPr>
        <w:t>Mpts</w:t>
      </w:r>
      <w:proofErr w:type="spellEnd"/>
      <w:r w:rsidR="00D96C21">
        <w:rPr>
          <w:sz w:val="22"/>
          <w:szCs w:val="22"/>
        </w:rPr>
        <w:t xml:space="preserve"> ausgestattet. </w:t>
      </w:r>
      <w:r w:rsidR="009A2328" w:rsidRPr="008E60D0">
        <w:rPr>
          <w:sz w:val="22"/>
          <w:szCs w:val="22"/>
        </w:rPr>
        <w:t xml:space="preserve">Eine </w:t>
      </w:r>
      <w:proofErr w:type="spellStart"/>
      <w:r w:rsidR="009A2328" w:rsidRPr="008E60D0">
        <w:rPr>
          <w:sz w:val="22"/>
          <w:szCs w:val="22"/>
        </w:rPr>
        <w:t>Waveform</w:t>
      </w:r>
      <w:proofErr w:type="spellEnd"/>
      <w:r w:rsidR="009A2328" w:rsidRPr="008E60D0">
        <w:rPr>
          <w:sz w:val="22"/>
          <w:szCs w:val="22"/>
        </w:rPr>
        <w:t xml:space="preserve">-Capture-Rate </w:t>
      </w:r>
      <w:r w:rsidR="00072570" w:rsidRPr="008E60D0">
        <w:rPr>
          <w:sz w:val="22"/>
          <w:szCs w:val="22"/>
        </w:rPr>
        <w:t xml:space="preserve">bis 110.000 </w:t>
      </w:r>
      <w:proofErr w:type="spellStart"/>
      <w:r w:rsidR="00072570" w:rsidRPr="008E60D0">
        <w:rPr>
          <w:sz w:val="22"/>
          <w:szCs w:val="22"/>
        </w:rPr>
        <w:t>Wfm</w:t>
      </w:r>
      <w:proofErr w:type="spellEnd"/>
      <w:r w:rsidR="00072570" w:rsidRPr="008E60D0">
        <w:rPr>
          <w:sz w:val="22"/>
          <w:szCs w:val="22"/>
        </w:rPr>
        <w:t xml:space="preserve">/s (Normal-Betrieb) bzw. </w:t>
      </w:r>
      <w:r w:rsidR="008E60D0" w:rsidRPr="008E60D0">
        <w:rPr>
          <w:sz w:val="22"/>
          <w:szCs w:val="22"/>
        </w:rPr>
        <w:t xml:space="preserve">bis </w:t>
      </w:r>
      <w:r w:rsidR="009A2328" w:rsidRPr="008E60D0">
        <w:rPr>
          <w:sz w:val="22"/>
          <w:szCs w:val="22"/>
        </w:rPr>
        <w:t>480.000 Frames/s</w:t>
      </w:r>
      <w:r w:rsidR="007047ED" w:rsidRPr="008E60D0">
        <w:rPr>
          <w:sz w:val="22"/>
          <w:szCs w:val="22"/>
        </w:rPr>
        <w:t xml:space="preserve"> </w:t>
      </w:r>
      <w:r w:rsidR="00072570" w:rsidRPr="008E60D0">
        <w:rPr>
          <w:sz w:val="22"/>
          <w:szCs w:val="22"/>
        </w:rPr>
        <w:t xml:space="preserve">(Sequenzer-Betrieb) </w:t>
      </w:r>
      <w:r w:rsidR="007047ED" w:rsidRPr="008E60D0">
        <w:rPr>
          <w:sz w:val="22"/>
          <w:szCs w:val="22"/>
        </w:rPr>
        <w:t xml:space="preserve">sorgt gemeinsam mit </w:t>
      </w:r>
      <w:r w:rsidR="009A2328" w:rsidRPr="008E60D0">
        <w:rPr>
          <w:sz w:val="22"/>
          <w:szCs w:val="22"/>
        </w:rPr>
        <w:t>256 Intensitäts-Abstufungen und ein</w:t>
      </w:r>
      <w:r w:rsidR="007047ED" w:rsidRPr="008E60D0">
        <w:rPr>
          <w:sz w:val="22"/>
          <w:szCs w:val="22"/>
        </w:rPr>
        <w:t>em</w:t>
      </w:r>
      <w:r w:rsidR="009A2328" w:rsidRPr="008E60D0">
        <w:rPr>
          <w:sz w:val="22"/>
          <w:szCs w:val="22"/>
        </w:rPr>
        <w:t xml:space="preserve"> Farb-Temperatur-Display-Betrieb für exzellente Signaltreue und Performance. </w:t>
      </w:r>
      <w:r w:rsidR="00AD36AA" w:rsidRPr="008E60D0">
        <w:rPr>
          <w:sz w:val="22"/>
          <w:szCs w:val="22"/>
        </w:rPr>
        <w:t xml:space="preserve">Die segmentierte Erfassung (Sequenz) teilt die maximale </w:t>
      </w:r>
      <w:proofErr w:type="spellStart"/>
      <w:r w:rsidR="00AD36AA" w:rsidRPr="008E60D0">
        <w:rPr>
          <w:sz w:val="22"/>
          <w:szCs w:val="22"/>
        </w:rPr>
        <w:t>Record</w:t>
      </w:r>
      <w:proofErr w:type="spellEnd"/>
      <w:r w:rsidR="00AD36AA" w:rsidRPr="008E60D0">
        <w:rPr>
          <w:sz w:val="22"/>
          <w:szCs w:val="22"/>
        </w:rPr>
        <w:t xml:space="preserve">-Länge in mehrere Segmente (bis 100.000). Je nach Modell </w:t>
      </w:r>
      <w:r w:rsidR="00D01583">
        <w:rPr>
          <w:sz w:val="22"/>
          <w:szCs w:val="22"/>
        </w:rPr>
        <w:t xml:space="preserve">beträgt die </w:t>
      </w:r>
      <w:r w:rsidR="00AD36AA" w:rsidRPr="008E60D0">
        <w:rPr>
          <w:sz w:val="22"/>
          <w:szCs w:val="22"/>
        </w:rPr>
        <w:t xml:space="preserve">Bandbreite 350 MHz (SDS5032X, SDS5034X), 500 MHz (SDS5052X, SDS5054X) oder 1 GHz (SDS5102X, SDS5104X). </w:t>
      </w:r>
      <w:r w:rsidR="00D7688D" w:rsidRPr="008E60D0">
        <w:rPr>
          <w:sz w:val="22"/>
          <w:szCs w:val="22"/>
        </w:rPr>
        <w:t>Die maximale Sampling-Rate beträgt 5 GS/s (</w:t>
      </w:r>
      <w:proofErr w:type="spellStart"/>
      <w:r w:rsidR="00D7688D" w:rsidRPr="008E60D0">
        <w:rPr>
          <w:sz w:val="22"/>
          <w:szCs w:val="22"/>
        </w:rPr>
        <w:t>interleaved</w:t>
      </w:r>
      <w:proofErr w:type="spellEnd"/>
      <w:r w:rsidR="00D7688D" w:rsidRPr="008E60D0">
        <w:rPr>
          <w:sz w:val="22"/>
          <w:szCs w:val="22"/>
        </w:rPr>
        <w:t>) bzw. 2,5 GS/s (nicht-</w:t>
      </w:r>
      <w:proofErr w:type="spellStart"/>
      <w:r w:rsidR="00D7688D" w:rsidRPr="008E60D0">
        <w:rPr>
          <w:sz w:val="22"/>
          <w:szCs w:val="22"/>
        </w:rPr>
        <w:t>interleaved</w:t>
      </w:r>
      <w:proofErr w:type="spellEnd"/>
      <w:r w:rsidR="00D7688D" w:rsidRPr="008E60D0">
        <w:rPr>
          <w:sz w:val="22"/>
          <w:szCs w:val="22"/>
        </w:rPr>
        <w:t xml:space="preserve">). Die vertikale Auflösung beträgt 8 </w:t>
      </w:r>
      <w:proofErr w:type="spellStart"/>
      <w:r w:rsidR="00D7688D" w:rsidRPr="008E60D0">
        <w:rPr>
          <w:sz w:val="22"/>
          <w:szCs w:val="22"/>
        </w:rPr>
        <w:t>bit</w:t>
      </w:r>
      <w:proofErr w:type="spellEnd"/>
      <w:r w:rsidR="00D7688D" w:rsidRPr="008E60D0">
        <w:rPr>
          <w:sz w:val="22"/>
          <w:szCs w:val="22"/>
        </w:rPr>
        <w:t xml:space="preserve">. </w:t>
      </w:r>
    </w:p>
    <w:p w:rsidR="00BD090E" w:rsidRPr="008E60D0" w:rsidRDefault="006B661C" w:rsidP="009A2328">
      <w:pPr>
        <w:pStyle w:val="PR-FT"/>
        <w:rPr>
          <w:sz w:val="22"/>
          <w:szCs w:val="22"/>
        </w:rPr>
      </w:pPr>
      <w:r w:rsidRPr="008E60D0">
        <w:rPr>
          <w:sz w:val="22"/>
          <w:szCs w:val="22"/>
        </w:rPr>
        <w:t>Die SDS5000X-Serie unterstützt umfangreiche Trigger-Arten inklusive serieller Bus-</w:t>
      </w:r>
      <w:proofErr w:type="spellStart"/>
      <w:r w:rsidRPr="008E60D0">
        <w:rPr>
          <w:sz w:val="22"/>
          <w:szCs w:val="22"/>
        </w:rPr>
        <w:t>Triggerung</w:t>
      </w:r>
      <w:proofErr w:type="spellEnd"/>
      <w:r w:rsidRPr="008E60D0">
        <w:rPr>
          <w:sz w:val="22"/>
          <w:szCs w:val="22"/>
        </w:rPr>
        <w:t xml:space="preserve">. Serielle Trigger und Bus-Decoding für I²C, SPI, UART, CAN und LIN Bus sind inklusive. CAN-FD, </w:t>
      </w:r>
      <w:proofErr w:type="spellStart"/>
      <w:r w:rsidRPr="008E60D0">
        <w:rPr>
          <w:sz w:val="22"/>
          <w:szCs w:val="22"/>
        </w:rPr>
        <w:t>FlexRay</w:t>
      </w:r>
      <w:proofErr w:type="spellEnd"/>
      <w:r w:rsidRPr="008E60D0">
        <w:rPr>
          <w:sz w:val="22"/>
          <w:szCs w:val="22"/>
        </w:rPr>
        <w:t>, I²S, MIL-</w:t>
      </w:r>
      <w:r w:rsidRPr="008E60D0">
        <w:rPr>
          <w:sz w:val="22"/>
          <w:szCs w:val="22"/>
        </w:rPr>
        <w:lastRenderedPageBreak/>
        <w:t>STD-1553B sind optional erhältlich. Ebenfalls optional ist die Aufrüstung mit 16 Digital-Kanälen (Mixed-Signal/MSO</w:t>
      </w:r>
      <w:r w:rsidR="00A80CC9" w:rsidRPr="008E60D0">
        <w:rPr>
          <w:sz w:val="22"/>
          <w:szCs w:val="22"/>
        </w:rPr>
        <w:t>)</w:t>
      </w:r>
      <w:r w:rsidRPr="008E60D0">
        <w:rPr>
          <w:sz w:val="22"/>
          <w:szCs w:val="22"/>
        </w:rPr>
        <w:t xml:space="preserve"> sowie dem eingebauten 25 MHz Arbiträr-Signal-Generator.</w:t>
      </w:r>
      <w:r w:rsidR="00D01583">
        <w:rPr>
          <w:sz w:val="22"/>
          <w:szCs w:val="22"/>
        </w:rPr>
        <w:t xml:space="preserve"> </w:t>
      </w:r>
      <w:r w:rsidR="00476EA0">
        <w:rPr>
          <w:sz w:val="22"/>
          <w:szCs w:val="22"/>
        </w:rPr>
        <w:t xml:space="preserve">Eine </w:t>
      </w:r>
      <w:r w:rsidR="00476EA0">
        <w:rPr>
          <w:sz w:val="22"/>
          <w:szCs w:val="22"/>
        </w:rPr>
        <w:t>hardware-basierte FFT</w:t>
      </w:r>
      <w:r w:rsidR="00476EA0">
        <w:rPr>
          <w:sz w:val="22"/>
          <w:szCs w:val="22"/>
        </w:rPr>
        <w:t xml:space="preserve"> sorgt für </w:t>
      </w:r>
      <w:r w:rsidR="00476EA0">
        <w:rPr>
          <w:sz w:val="22"/>
          <w:szCs w:val="22"/>
        </w:rPr>
        <w:t>leistungsst</w:t>
      </w:r>
      <w:r w:rsidR="008F49C9">
        <w:rPr>
          <w:sz w:val="22"/>
          <w:szCs w:val="22"/>
        </w:rPr>
        <w:t xml:space="preserve">arke Analysen im Frequenzbereich; bis zu 2 </w:t>
      </w:r>
      <w:proofErr w:type="spellStart"/>
      <w:r w:rsidR="008F49C9">
        <w:rPr>
          <w:sz w:val="22"/>
          <w:szCs w:val="22"/>
        </w:rPr>
        <w:t>Mpts</w:t>
      </w:r>
      <w:proofErr w:type="spellEnd"/>
      <w:r w:rsidR="008F49C9">
        <w:rPr>
          <w:sz w:val="22"/>
          <w:szCs w:val="22"/>
        </w:rPr>
        <w:t xml:space="preserve"> werden für die FFT-Berechnung verwendet, wodurch sich sehr feine Frequenzauflösungen durchführen lassen. </w:t>
      </w:r>
      <w:r w:rsidR="00476EA0">
        <w:rPr>
          <w:sz w:val="22"/>
          <w:szCs w:val="22"/>
        </w:rPr>
        <w:t xml:space="preserve"> </w:t>
      </w:r>
      <w:r w:rsidR="00D32EA4">
        <w:rPr>
          <w:sz w:val="22"/>
          <w:szCs w:val="22"/>
        </w:rPr>
        <w:t>Schließlich lässt sich d</w:t>
      </w:r>
      <w:r w:rsidR="00D01583">
        <w:rPr>
          <w:sz w:val="22"/>
          <w:szCs w:val="22"/>
        </w:rPr>
        <w:t xml:space="preserve">ie Bandbreite der Serie SDS5000X nachträglich per Software-Option erweitert. </w:t>
      </w:r>
      <w:r w:rsidR="00D32EA4">
        <w:rPr>
          <w:sz w:val="22"/>
          <w:szCs w:val="22"/>
        </w:rPr>
        <w:t>Alle Oszill</w:t>
      </w:r>
      <w:r w:rsidR="00B50752">
        <w:rPr>
          <w:sz w:val="22"/>
          <w:szCs w:val="22"/>
        </w:rPr>
        <w:t xml:space="preserve">oskope der SDS5000X-Serie </w:t>
      </w:r>
      <w:r w:rsidR="00BD090E">
        <w:rPr>
          <w:sz w:val="22"/>
          <w:szCs w:val="22"/>
        </w:rPr>
        <w:t xml:space="preserve">verfügen über einen </w:t>
      </w:r>
      <w:r w:rsidR="00696AD3">
        <w:rPr>
          <w:sz w:val="22"/>
          <w:szCs w:val="22"/>
        </w:rPr>
        <w:t>10.</w:t>
      </w:r>
      <w:r w:rsidR="00BD090E" w:rsidRPr="00BD090E">
        <w:rPr>
          <w:sz w:val="22"/>
          <w:szCs w:val="22"/>
        </w:rPr>
        <w:t>1"/25,7 cm TFT -LCD (1024x600)</w:t>
      </w:r>
      <w:r w:rsidR="00BD090E">
        <w:rPr>
          <w:sz w:val="22"/>
          <w:szCs w:val="22"/>
        </w:rPr>
        <w:t xml:space="preserve"> kapazitiven</w:t>
      </w:r>
      <w:r w:rsidR="00BD090E" w:rsidRPr="00BD090E">
        <w:rPr>
          <w:sz w:val="22"/>
          <w:szCs w:val="22"/>
        </w:rPr>
        <w:t xml:space="preserve"> Touch-Screen</w:t>
      </w:r>
      <w:r w:rsidR="00BD090E">
        <w:rPr>
          <w:sz w:val="22"/>
          <w:szCs w:val="22"/>
        </w:rPr>
        <w:t xml:space="preserve">, einen </w:t>
      </w:r>
      <w:r w:rsidR="00BD090E" w:rsidRPr="00BD090E">
        <w:rPr>
          <w:sz w:val="22"/>
          <w:szCs w:val="22"/>
        </w:rPr>
        <w:t>VGA-Ausgang</w:t>
      </w:r>
      <w:r w:rsidR="00BD090E">
        <w:rPr>
          <w:sz w:val="22"/>
          <w:szCs w:val="22"/>
        </w:rPr>
        <w:t xml:space="preserve"> sowie </w:t>
      </w:r>
      <w:r w:rsidR="007E0F98">
        <w:rPr>
          <w:sz w:val="22"/>
          <w:szCs w:val="22"/>
        </w:rPr>
        <w:t>unterschiedliche Schnittstellen (</w:t>
      </w:r>
      <w:r w:rsidR="007E0F98" w:rsidRPr="007E0F98">
        <w:rPr>
          <w:sz w:val="22"/>
          <w:szCs w:val="22"/>
        </w:rPr>
        <w:t>3x USB Host, 1x USB Device, Ethernet/LAN</w:t>
      </w:r>
      <w:r w:rsidR="007E0F98">
        <w:rPr>
          <w:sz w:val="22"/>
          <w:szCs w:val="22"/>
        </w:rPr>
        <w:t>).</w:t>
      </w:r>
      <w:bookmarkStart w:id="0" w:name="_GoBack"/>
      <w:bookmarkEnd w:id="0"/>
    </w:p>
    <w:p w:rsidR="004F19A6" w:rsidRPr="008E60D0" w:rsidRDefault="004F19A6" w:rsidP="004F19A6">
      <w:pPr>
        <w:pStyle w:val="PR-FT"/>
        <w:rPr>
          <w:sz w:val="22"/>
          <w:szCs w:val="22"/>
        </w:rPr>
      </w:pPr>
      <w:r w:rsidRPr="008E60D0">
        <w:rPr>
          <w:sz w:val="22"/>
          <w:szCs w:val="22"/>
        </w:rPr>
        <w:t>Erhältlich</w:t>
      </w:r>
      <w:r w:rsidR="009F1A2D" w:rsidRPr="008E60D0">
        <w:rPr>
          <w:sz w:val="22"/>
          <w:szCs w:val="22"/>
        </w:rPr>
        <w:t xml:space="preserve"> sind die </w:t>
      </w:r>
      <w:r w:rsidR="00EF0C26" w:rsidRPr="008E60D0">
        <w:rPr>
          <w:sz w:val="22"/>
          <w:szCs w:val="22"/>
        </w:rPr>
        <w:t>Super Phosphor Oszilloskope der SDS5000X-Serie</w:t>
      </w:r>
      <w:r w:rsidR="00F1796E" w:rsidRPr="008E60D0">
        <w:rPr>
          <w:sz w:val="22"/>
          <w:szCs w:val="22"/>
        </w:rPr>
        <w:t xml:space="preserve"> </w:t>
      </w:r>
      <w:r w:rsidR="00B241AF" w:rsidRPr="008E60D0">
        <w:rPr>
          <w:sz w:val="22"/>
          <w:szCs w:val="22"/>
        </w:rPr>
        <w:t>im</w:t>
      </w:r>
      <w:r w:rsidRPr="008E60D0">
        <w:rPr>
          <w:sz w:val="22"/>
          <w:szCs w:val="22"/>
        </w:rPr>
        <w:t xml:space="preserve"> Webshop unter</w:t>
      </w:r>
      <w:r w:rsidRPr="008E60D0">
        <w:rPr>
          <w:rFonts w:cstheme="minorHAnsi"/>
          <w:sz w:val="22"/>
          <w:szCs w:val="22"/>
        </w:rPr>
        <w:t xml:space="preserve"> </w:t>
      </w:r>
      <w:hyperlink r:id="rId7" w:history="1">
        <w:r w:rsidRPr="008E60D0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Pr="008E60D0"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D32EA4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56D08"/>
    <w:rsid w:val="00060B9C"/>
    <w:rsid w:val="00072570"/>
    <w:rsid w:val="00076205"/>
    <w:rsid w:val="00092E10"/>
    <w:rsid w:val="000D08CB"/>
    <w:rsid w:val="000D1B2E"/>
    <w:rsid w:val="000D22FA"/>
    <w:rsid w:val="000F055E"/>
    <w:rsid w:val="000F647F"/>
    <w:rsid w:val="0010009F"/>
    <w:rsid w:val="001147A8"/>
    <w:rsid w:val="00117632"/>
    <w:rsid w:val="0013747E"/>
    <w:rsid w:val="001379CC"/>
    <w:rsid w:val="00154D5F"/>
    <w:rsid w:val="00162B1D"/>
    <w:rsid w:val="00171CFA"/>
    <w:rsid w:val="0018149A"/>
    <w:rsid w:val="0019224C"/>
    <w:rsid w:val="00194C78"/>
    <w:rsid w:val="001B0514"/>
    <w:rsid w:val="001C2236"/>
    <w:rsid w:val="001C2326"/>
    <w:rsid w:val="001C771F"/>
    <w:rsid w:val="001D0DD1"/>
    <w:rsid w:val="001D4058"/>
    <w:rsid w:val="001D7783"/>
    <w:rsid w:val="001E0D93"/>
    <w:rsid w:val="001E350D"/>
    <w:rsid w:val="001E4A3A"/>
    <w:rsid w:val="001E4E4A"/>
    <w:rsid w:val="00227898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866F4"/>
    <w:rsid w:val="00294FF7"/>
    <w:rsid w:val="002A00F8"/>
    <w:rsid w:val="002A1011"/>
    <w:rsid w:val="002A1835"/>
    <w:rsid w:val="002A2AF4"/>
    <w:rsid w:val="002A4D2F"/>
    <w:rsid w:val="002B01BB"/>
    <w:rsid w:val="002B18F9"/>
    <w:rsid w:val="002B3AC1"/>
    <w:rsid w:val="002C09CF"/>
    <w:rsid w:val="002C0CEF"/>
    <w:rsid w:val="002D18C6"/>
    <w:rsid w:val="002D2492"/>
    <w:rsid w:val="002E6F10"/>
    <w:rsid w:val="002E7891"/>
    <w:rsid w:val="002F6F39"/>
    <w:rsid w:val="002F7DC3"/>
    <w:rsid w:val="00302920"/>
    <w:rsid w:val="0031171F"/>
    <w:rsid w:val="00326A6A"/>
    <w:rsid w:val="00327126"/>
    <w:rsid w:val="00347520"/>
    <w:rsid w:val="00351D8F"/>
    <w:rsid w:val="00355F74"/>
    <w:rsid w:val="00361DBB"/>
    <w:rsid w:val="00370BE6"/>
    <w:rsid w:val="003A32C4"/>
    <w:rsid w:val="003B3C4D"/>
    <w:rsid w:val="003B695F"/>
    <w:rsid w:val="003C1A88"/>
    <w:rsid w:val="003C77F3"/>
    <w:rsid w:val="003D2787"/>
    <w:rsid w:val="003D62B9"/>
    <w:rsid w:val="003D666E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707D"/>
    <w:rsid w:val="004379C5"/>
    <w:rsid w:val="004442C5"/>
    <w:rsid w:val="004442F0"/>
    <w:rsid w:val="0044555B"/>
    <w:rsid w:val="004549AA"/>
    <w:rsid w:val="004563CC"/>
    <w:rsid w:val="00457CFB"/>
    <w:rsid w:val="00476EA0"/>
    <w:rsid w:val="00476FA9"/>
    <w:rsid w:val="00480830"/>
    <w:rsid w:val="00485FD7"/>
    <w:rsid w:val="0049405B"/>
    <w:rsid w:val="004A34EC"/>
    <w:rsid w:val="004A51A5"/>
    <w:rsid w:val="004B34FF"/>
    <w:rsid w:val="004C190F"/>
    <w:rsid w:val="004D3307"/>
    <w:rsid w:val="004E0FAF"/>
    <w:rsid w:val="004F19A6"/>
    <w:rsid w:val="004F5DCB"/>
    <w:rsid w:val="005122B3"/>
    <w:rsid w:val="005151FE"/>
    <w:rsid w:val="00517B5B"/>
    <w:rsid w:val="00522B91"/>
    <w:rsid w:val="00522C51"/>
    <w:rsid w:val="0052379D"/>
    <w:rsid w:val="005379D4"/>
    <w:rsid w:val="005444A6"/>
    <w:rsid w:val="00555DFC"/>
    <w:rsid w:val="005575B8"/>
    <w:rsid w:val="00570DE3"/>
    <w:rsid w:val="00573290"/>
    <w:rsid w:val="00586F9C"/>
    <w:rsid w:val="00590690"/>
    <w:rsid w:val="00590EA6"/>
    <w:rsid w:val="005945A1"/>
    <w:rsid w:val="005970AF"/>
    <w:rsid w:val="005A0D18"/>
    <w:rsid w:val="005A2A05"/>
    <w:rsid w:val="005A3AB8"/>
    <w:rsid w:val="005B7A1C"/>
    <w:rsid w:val="005C54BD"/>
    <w:rsid w:val="005C6229"/>
    <w:rsid w:val="005D585F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1495C"/>
    <w:rsid w:val="00622683"/>
    <w:rsid w:val="006227F7"/>
    <w:rsid w:val="00622F7E"/>
    <w:rsid w:val="00630FFF"/>
    <w:rsid w:val="00632AAD"/>
    <w:rsid w:val="00640D23"/>
    <w:rsid w:val="0064174A"/>
    <w:rsid w:val="00662FEA"/>
    <w:rsid w:val="00676B88"/>
    <w:rsid w:val="00682BDB"/>
    <w:rsid w:val="006848CA"/>
    <w:rsid w:val="006926E5"/>
    <w:rsid w:val="00694DAF"/>
    <w:rsid w:val="00696AD3"/>
    <w:rsid w:val="006A329A"/>
    <w:rsid w:val="006A6D93"/>
    <w:rsid w:val="006A783A"/>
    <w:rsid w:val="006B0FDB"/>
    <w:rsid w:val="006B661C"/>
    <w:rsid w:val="006C2257"/>
    <w:rsid w:val="006C3338"/>
    <w:rsid w:val="006D0EFC"/>
    <w:rsid w:val="006D22D3"/>
    <w:rsid w:val="006D4FB4"/>
    <w:rsid w:val="006E0FE3"/>
    <w:rsid w:val="006E3EA8"/>
    <w:rsid w:val="006F1693"/>
    <w:rsid w:val="006F75D0"/>
    <w:rsid w:val="00704322"/>
    <w:rsid w:val="007047ED"/>
    <w:rsid w:val="00711D80"/>
    <w:rsid w:val="00713B34"/>
    <w:rsid w:val="007344B7"/>
    <w:rsid w:val="00740524"/>
    <w:rsid w:val="00743AA6"/>
    <w:rsid w:val="00743C89"/>
    <w:rsid w:val="00745F25"/>
    <w:rsid w:val="007548FD"/>
    <w:rsid w:val="007567F2"/>
    <w:rsid w:val="00757FAD"/>
    <w:rsid w:val="0076020E"/>
    <w:rsid w:val="00764ADA"/>
    <w:rsid w:val="0077784B"/>
    <w:rsid w:val="0078382D"/>
    <w:rsid w:val="0079327B"/>
    <w:rsid w:val="007A6E0D"/>
    <w:rsid w:val="007A7D33"/>
    <w:rsid w:val="007B028F"/>
    <w:rsid w:val="007D5366"/>
    <w:rsid w:val="007E0F98"/>
    <w:rsid w:val="007F3150"/>
    <w:rsid w:val="008016C4"/>
    <w:rsid w:val="008151EF"/>
    <w:rsid w:val="00821DF0"/>
    <w:rsid w:val="00827A00"/>
    <w:rsid w:val="00831BF5"/>
    <w:rsid w:val="00832362"/>
    <w:rsid w:val="00833706"/>
    <w:rsid w:val="008370B3"/>
    <w:rsid w:val="00840B95"/>
    <w:rsid w:val="0084212D"/>
    <w:rsid w:val="008437E0"/>
    <w:rsid w:val="00851F17"/>
    <w:rsid w:val="00860B2B"/>
    <w:rsid w:val="00864A72"/>
    <w:rsid w:val="00864C3D"/>
    <w:rsid w:val="00867422"/>
    <w:rsid w:val="00882F54"/>
    <w:rsid w:val="0089120E"/>
    <w:rsid w:val="008A4211"/>
    <w:rsid w:val="008B0FB8"/>
    <w:rsid w:val="008B1599"/>
    <w:rsid w:val="008B21FC"/>
    <w:rsid w:val="008B3F74"/>
    <w:rsid w:val="008C1DFA"/>
    <w:rsid w:val="008D1638"/>
    <w:rsid w:val="008E3F02"/>
    <w:rsid w:val="008E60D0"/>
    <w:rsid w:val="008E6C98"/>
    <w:rsid w:val="008F09EE"/>
    <w:rsid w:val="008F0D9C"/>
    <w:rsid w:val="008F49C9"/>
    <w:rsid w:val="00907DA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33B5"/>
    <w:rsid w:val="00975213"/>
    <w:rsid w:val="00983F5A"/>
    <w:rsid w:val="00991328"/>
    <w:rsid w:val="0099463F"/>
    <w:rsid w:val="00997109"/>
    <w:rsid w:val="009A0EBB"/>
    <w:rsid w:val="009A2328"/>
    <w:rsid w:val="009B1470"/>
    <w:rsid w:val="009C425B"/>
    <w:rsid w:val="009D0542"/>
    <w:rsid w:val="009D425B"/>
    <w:rsid w:val="009E3AE8"/>
    <w:rsid w:val="009F1272"/>
    <w:rsid w:val="009F1A2D"/>
    <w:rsid w:val="00A129AF"/>
    <w:rsid w:val="00A23CD3"/>
    <w:rsid w:val="00A34A3F"/>
    <w:rsid w:val="00A4240F"/>
    <w:rsid w:val="00A437CA"/>
    <w:rsid w:val="00A45DA5"/>
    <w:rsid w:val="00A57C13"/>
    <w:rsid w:val="00A6177A"/>
    <w:rsid w:val="00A628C5"/>
    <w:rsid w:val="00A64EA8"/>
    <w:rsid w:val="00A67B13"/>
    <w:rsid w:val="00A736DE"/>
    <w:rsid w:val="00A75A5E"/>
    <w:rsid w:val="00A80CC9"/>
    <w:rsid w:val="00A849A3"/>
    <w:rsid w:val="00A904C6"/>
    <w:rsid w:val="00A91381"/>
    <w:rsid w:val="00AA1C98"/>
    <w:rsid w:val="00AA6ED0"/>
    <w:rsid w:val="00AB2DDD"/>
    <w:rsid w:val="00AC334B"/>
    <w:rsid w:val="00AC594F"/>
    <w:rsid w:val="00AC6C1C"/>
    <w:rsid w:val="00AC725A"/>
    <w:rsid w:val="00AD0D6F"/>
    <w:rsid w:val="00AD36AA"/>
    <w:rsid w:val="00AD4AAD"/>
    <w:rsid w:val="00AE6848"/>
    <w:rsid w:val="00AF05C3"/>
    <w:rsid w:val="00AF6B19"/>
    <w:rsid w:val="00B01265"/>
    <w:rsid w:val="00B050E2"/>
    <w:rsid w:val="00B22719"/>
    <w:rsid w:val="00B241AF"/>
    <w:rsid w:val="00B245B4"/>
    <w:rsid w:val="00B25EB2"/>
    <w:rsid w:val="00B34A50"/>
    <w:rsid w:val="00B378BA"/>
    <w:rsid w:val="00B44ED4"/>
    <w:rsid w:val="00B50543"/>
    <w:rsid w:val="00B50752"/>
    <w:rsid w:val="00B5303F"/>
    <w:rsid w:val="00B55B9C"/>
    <w:rsid w:val="00B5785C"/>
    <w:rsid w:val="00B75E01"/>
    <w:rsid w:val="00B82CC2"/>
    <w:rsid w:val="00B87FAB"/>
    <w:rsid w:val="00B9221F"/>
    <w:rsid w:val="00B92D7A"/>
    <w:rsid w:val="00BA0CA6"/>
    <w:rsid w:val="00BB7D95"/>
    <w:rsid w:val="00BD090E"/>
    <w:rsid w:val="00BD4AC9"/>
    <w:rsid w:val="00BE73AC"/>
    <w:rsid w:val="00BE759E"/>
    <w:rsid w:val="00C06198"/>
    <w:rsid w:val="00C145C8"/>
    <w:rsid w:val="00C14966"/>
    <w:rsid w:val="00C1681E"/>
    <w:rsid w:val="00C3177D"/>
    <w:rsid w:val="00C34596"/>
    <w:rsid w:val="00C474C8"/>
    <w:rsid w:val="00C60D5B"/>
    <w:rsid w:val="00C70662"/>
    <w:rsid w:val="00C73243"/>
    <w:rsid w:val="00C86E75"/>
    <w:rsid w:val="00CA09ED"/>
    <w:rsid w:val="00CA1867"/>
    <w:rsid w:val="00CA1E3B"/>
    <w:rsid w:val="00CA2601"/>
    <w:rsid w:val="00CA3B18"/>
    <w:rsid w:val="00CA738B"/>
    <w:rsid w:val="00CB02D3"/>
    <w:rsid w:val="00CB3689"/>
    <w:rsid w:val="00CC08F8"/>
    <w:rsid w:val="00CD3F51"/>
    <w:rsid w:val="00CE081C"/>
    <w:rsid w:val="00D01583"/>
    <w:rsid w:val="00D019DB"/>
    <w:rsid w:val="00D101A2"/>
    <w:rsid w:val="00D1128C"/>
    <w:rsid w:val="00D15CBA"/>
    <w:rsid w:val="00D26535"/>
    <w:rsid w:val="00D32EA4"/>
    <w:rsid w:val="00D370BA"/>
    <w:rsid w:val="00D5214F"/>
    <w:rsid w:val="00D622E6"/>
    <w:rsid w:val="00D66A00"/>
    <w:rsid w:val="00D73329"/>
    <w:rsid w:val="00D75487"/>
    <w:rsid w:val="00D7688D"/>
    <w:rsid w:val="00D76B6D"/>
    <w:rsid w:val="00D77FAC"/>
    <w:rsid w:val="00D90C67"/>
    <w:rsid w:val="00D90E29"/>
    <w:rsid w:val="00D96C21"/>
    <w:rsid w:val="00DB2A4E"/>
    <w:rsid w:val="00DB616C"/>
    <w:rsid w:val="00DC0EF1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90B6F"/>
    <w:rsid w:val="00EA2C08"/>
    <w:rsid w:val="00EA3682"/>
    <w:rsid w:val="00EA562D"/>
    <w:rsid w:val="00EB7DEA"/>
    <w:rsid w:val="00ED5FA8"/>
    <w:rsid w:val="00ED6BB7"/>
    <w:rsid w:val="00EE3623"/>
    <w:rsid w:val="00EF0C26"/>
    <w:rsid w:val="00EF0DD1"/>
    <w:rsid w:val="00EF3E9B"/>
    <w:rsid w:val="00EF6238"/>
    <w:rsid w:val="00F17870"/>
    <w:rsid w:val="00F1796E"/>
    <w:rsid w:val="00F25481"/>
    <w:rsid w:val="00F26BB6"/>
    <w:rsid w:val="00F44024"/>
    <w:rsid w:val="00F57819"/>
    <w:rsid w:val="00F672D0"/>
    <w:rsid w:val="00F826F4"/>
    <w:rsid w:val="00FA6B99"/>
    <w:rsid w:val="00FC1C92"/>
    <w:rsid w:val="00FC55B6"/>
    <w:rsid w:val="00FD3596"/>
    <w:rsid w:val="00FD7DB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AFBB-AE81-4F87-95ED-EFBFDC08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40</cp:revision>
  <cp:lastPrinted>2018-03-07T09:44:00Z</cp:lastPrinted>
  <dcterms:created xsi:type="dcterms:W3CDTF">2019-01-22T10:07:00Z</dcterms:created>
  <dcterms:modified xsi:type="dcterms:W3CDTF">2019-01-31T09:41:00Z</dcterms:modified>
</cp:coreProperties>
</file>