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C4C5A">
        <w:t>März</w:t>
      </w:r>
      <w:r w:rsidR="00EE4FE7">
        <w:t xml:space="preserve"> 2021</w:t>
      </w:r>
    </w:p>
    <w:p w:rsidR="0031171F" w:rsidRPr="00192D41" w:rsidRDefault="006E0FE3" w:rsidP="006E0FE3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EE4FE7">
          <w:rPr>
            <w:rStyle w:val="Hyperlink"/>
          </w:rPr>
          <w:t>https://www.meilhaus.de/infos/news/presse/2021-q1</w:t>
        </w:r>
      </w:hyperlink>
      <w:r w:rsidR="00007979" w:rsidRPr="00192D41">
        <w:br/>
      </w:r>
      <w:r w:rsidR="00D63107">
        <w:t>PR07</w:t>
      </w:r>
      <w:r w:rsidR="007C4C5A" w:rsidRPr="007C4C5A">
        <w:t>-2021-Keysight-EDU-Serie</w:t>
      </w:r>
      <w:r w:rsidR="00007979" w:rsidRPr="00192D41">
        <w:t>.docx</w:t>
      </w:r>
      <w:r w:rsidR="00007979" w:rsidRPr="00192D41">
        <w:br/>
      </w:r>
      <w:r w:rsidR="00D63107">
        <w:t>PR07</w:t>
      </w:r>
      <w:r w:rsidR="007C4C5A" w:rsidRPr="007C4C5A">
        <w:t>-2021-Keysight-EDU-Serie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D63107">
        <w:t>PR07</w:t>
      </w:r>
      <w:bookmarkStart w:id="0" w:name="_GoBack"/>
      <w:bookmarkEnd w:id="0"/>
      <w:r w:rsidR="007C4C5A" w:rsidRPr="007C4C5A">
        <w:t>-2021-Keysight-EDU-Serie</w:t>
      </w:r>
      <w:r w:rsidR="00406161" w:rsidRPr="00192D41">
        <w:t>-2</w:t>
      </w:r>
      <w:r w:rsidR="00007979" w:rsidRPr="00192D41"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r w:rsidRPr="00BC4BB9">
        <w:rPr>
          <w:b/>
          <w:lang w:val="en-US"/>
        </w:rPr>
        <w:t>Thema/Subject:</w:t>
      </w:r>
      <w:r w:rsidRPr="00BC4BB9">
        <w:rPr>
          <w:lang w:val="en-US"/>
        </w:rPr>
        <w:tab/>
      </w:r>
      <w:r w:rsidR="007C4C5A">
        <w:rPr>
          <w:lang w:val="en-US"/>
        </w:rPr>
        <w:t>Keysight Education-Serie</w:t>
      </w:r>
      <w:r w:rsidR="0007406B" w:rsidRPr="00BC4BB9">
        <w:rPr>
          <w:lang w:val="en-US"/>
        </w:rPr>
        <w:t xml:space="preserve"> </w:t>
      </w:r>
      <w:r w:rsidR="0043133E" w:rsidRPr="00BC4BB9">
        <w:rPr>
          <w:lang w:val="en-US"/>
        </w:rPr>
        <w:t>bei</w:t>
      </w:r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7C4C5A" w:rsidP="006E0FE3">
      <w:pPr>
        <w:pStyle w:val="PR-Head1"/>
      </w:pPr>
      <w:r>
        <w:t>Education-Serie von Keysight</w:t>
      </w:r>
    </w:p>
    <w:p w:rsidR="00EF3E9B" w:rsidRPr="00544088" w:rsidRDefault="0093596A" w:rsidP="00476FA9">
      <w:pPr>
        <w:pStyle w:val="PR-Head2"/>
      </w:pPr>
      <w:r>
        <w:t>Von Anfang an: Technologie und Leistung auf Industrie-Niveau</w:t>
      </w:r>
    </w:p>
    <w:p w:rsidR="00B73221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3596A">
        <w:rPr>
          <w:b/>
        </w:rPr>
        <w:t>März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 </w:t>
      </w:r>
      <w:r w:rsidR="0093596A">
        <w:rPr>
          <w:b/>
        </w:rPr>
        <w:t>Leistung und Technologie auf Industrie-Niveau, und das von Anfang an</w:t>
      </w:r>
      <w:r w:rsidR="00555F1B">
        <w:rPr>
          <w:b/>
        </w:rPr>
        <w:t xml:space="preserve">. </w:t>
      </w:r>
      <w:r w:rsidR="0093596A">
        <w:rPr>
          <w:b/>
        </w:rPr>
        <w:t xml:space="preserve"> </w:t>
      </w:r>
      <w:r w:rsidR="006663A9">
        <w:rPr>
          <w:b/>
        </w:rPr>
        <w:t xml:space="preserve">Keysight Technologies bringt mit der neuen </w:t>
      </w:r>
      <w:r w:rsidR="00555F1B">
        <w:rPr>
          <w:b/>
        </w:rPr>
        <w:t>EDU</w:t>
      </w:r>
      <w:r w:rsidR="006663A9">
        <w:rPr>
          <w:b/>
        </w:rPr>
        <w:t xml:space="preserve">-Serie Ausbildungsprodukte auf den Markt, </w:t>
      </w:r>
      <w:r w:rsidR="00A02EB1">
        <w:rPr>
          <w:b/>
        </w:rPr>
        <w:t>mit denen Studenten wichtige</w:t>
      </w:r>
      <w:r w:rsidR="006663A9">
        <w:rPr>
          <w:b/>
        </w:rPr>
        <w:t xml:space="preserve"> Kenntnisse </w:t>
      </w:r>
      <w:r w:rsidR="00D2636B">
        <w:rPr>
          <w:b/>
        </w:rPr>
        <w:t xml:space="preserve">und Vorgehensweisen </w:t>
      </w:r>
      <w:r w:rsidR="006663A9">
        <w:rPr>
          <w:b/>
        </w:rPr>
        <w:t xml:space="preserve">erwerben können, die sie später als Ingenieure </w:t>
      </w:r>
      <w:r w:rsidR="009F7910">
        <w:rPr>
          <w:b/>
        </w:rPr>
        <w:t>in der Industrie benötigen. Denn w</w:t>
      </w:r>
      <w:r w:rsidR="00555F1B">
        <w:rPr>
          <w:b/>
        </w:rPr>
        <w:t>er bereits in der Ausbildung mit Geräten auf Profi-Niveau arbeitet, kann sich im Berufsleben auf diese</w:t>
      </w:r>
      <w:r w:rsidR="00B73221">
        <w:rPr>
          <w:b/>
        </w:rPr>
        <w:t xml:space="preserve"> Erfahrung stützen.</w:t>
      </w:r>
      <w:r w:rsidR="00555F1B">
        <w:rPr>
          <w:b/>
        </w:rPr>
        <w:t xml:space="preserve"> </w:t>
      </w:r>
      <w:r w:rsidR="000B0E4A">
        <w:rPr>
          <w:b/>
        </w:rPr>
        <w:t>Die</w:t>
      </w:r>
      <w:r w:rsidR="00A02EB1">
        <w:rPr>
          <w:b/>
        </w:rPr>
        <w:t xml:space="preserve"> </w:t>
      </w:r>
      <w:r w:rsidR="00B73221">
        <w:rPr>
          <w:b/>
        </w:rPr>
        <w:t>neue EDU-</w:t>
      </w:r>
      <w:r w:rsidR="00A02EB1">
        <w:rPr>
          <w:b/>
        </w:rPr>
        <w:t xml:space="preserve">Serie </w:t>
      </w:r>
      <w:r w:rsidR="009F7910">
        <w:rPr>
          <w:b/>
        </w:rPr>
        <w:t xml:space="preserve">von Keysight </w:t>
      </w:r>
      <w:r w:rsidR="00A02EB1">
        <w:rPr>
          <w:b/>
        </w:rPr>
        <w:t>umfasst drei Gerätetypen</w:t>
      </w:r>
      <w:r w:rsidR="00B73221">
        <w:rPr>
          <w:b/>
        </w:rPr>
        <w:t xml:space="preserve">, die ein einheitliches Look &amp; Feel-Erlebnis bieten. </w:t>
      </w:r>
      <w:r w:rsidR="00C42E69">
        <w:rPr>
          <w:b/>
        </w:rPr>
        <w:t xml:space="preserve">Die </w:t>
      </w:r>
      <w:r w:rsidR="000B0E4A" w:rsidRPr="000B0E4A">
        <w:rPr>
          <w:b/>
        </w:rPr>
        <w:t xml:space="preserve">1-/2-Kanal Funktionsgeneratoren, 5½-Digit </w:t>
      </w:r>
      <w:r w:rsidR="00920E2C">
        <w:rPr>
          <w:b/>
        </w:rPr>
        <w:t>Digital-Multimeter und dreifach-</w:t>
      </w:r>
      <w:r w:rsidR="00555F1B">
        <w:rPr>
          <w:b/>
        </w:rPr>
        <w:t>Stromversorgungen</w:t>
      </w:r>
      <w:r w:rsidR="00C42E69">
        <w:rPr>
          <w:b/>
        </w:rPr>
        <w:t xml:space="preserve"> sind mit einer einheitlich gestalteten Benutzerober</w:t>
      </w:r>
      <w:r w:rsidR="009F7910">
        <w:rPr>
          <w:b/>
        </w:rPr>
        <w:t xml:space="preserve">fläche, </w:t>
      </w:r>
      <w:r w:rsidR="00C42E69">
        <w:rPr>
          <w:b/>
        </w:rPr>
        <w:t xml:space="preserve">einem gut lesbaren Farbdisplay </w:t>
      </w:r>
      <w:r w:rsidR="009F7910">
        <w:rPr>
          <w:b/>
        </w:rPr>
        <w:t xml:space="preserve">sowie Technologie auf Industrie-Niveau </w:t>
      </w:r>
      <w:r w:rsidR="00C42E69">
        <w:rPr>
          <w:b/>
        </w:rPr>
        <w:t>ausgestattet</w:t>
      </w:r>
      <w:r w:rsidR="00B73221">
        <w:rPr>
          <w:b/>
        </w:rPr>
        <w:t xml:space="preserve">. </w:t>
      </w:r>
      <w:r w:rsidR="009F7910">
        <w:rPr>
          <w:b/>
        </w:rPr>
        <w:t xml:space="preserve">Einsatzgebiete sind Elektronik- und Elektro-Lehrlabors oder auch Bereiche in der Industrie, die mit einer großen Stückzahl an Messgeräten </w:t>
      </w:r>
      <w:r w:rsidR="00EF72E2">
        <w:rPr>
          <w:b/>
        </w:rPr>
        <w:t>ausgerüstet</w:t>
      </w:r>
      <w:r w:rsidR="009F7910">
        <w:rPr>
          <w:b/>
        </w:rPr>
        <w:t xml:space="preserve"> werden müssen. </w:t>
      </w:r>
    </w:p>
    <w:p w:rsidR="00DB6A73" w:rsidRDefault="00157FB8" w:rsidP="00DB6A7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EDU-Serie von Keysight umfasst zwei Funktionsgeneratoren (</w:t>
      </w:r>
      <w:r w:rsidRPr="00157FB8">
        <w:rPr>
          <w:rFonts w:asciiTheme="majorHAnsi" w:eastAsia="Times New Roman" w:hAnsiTheme="majorHAnsi" w:cstheme="majorHAnsi"/>
          <w:sz w:val="22"/>
          <w:szCs w:val="24"/>
        </w:rPr>
        <w:t>EDU33211A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einkanalig, </w:t>
      </w:r>
      <w:r w:rsidRPr="00157FB8">
        <w:rPr>
          <w:rFonts w:asciiTheme="majorHAnsi" w:eastAsia="Times New Roman" w:hAnsiTheme="majorHAnsi" w:cstheme="majorHAnsi"/>
          <w:sz w:val="22"/>
          <w:szCs w:val="24"/>
        </w:rPr>
        <w:t>EDU33212A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zweikanalig), ein </w:t>
      </w:r>
      <w:r w:rsidRPr="00157FB8">
        <w:rPr>
          <w:rFonts w:asciiTheme="majorHAnsi" w:eastAsia="Times New Roman" w:hAnsiTheme="majorHAnsi" w:cstheme="majorHAnsi"/>
          <w:sz w:val="22"/>
          <w:szCs w:val="24"/>
        </w:rPr>
        <w:t>5½-stelliges Digital-Multimeter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Pr="00157FB8">
        <w:rPr>
          <w:rFonts w:asciiTheme="majorHAnsi" w:eastAsia="Times New Roman" w:hAnsiTheme="majorHAnsi" w:cstheme="majorHAnsi"/>
          <w:sz w:val="22"/>
          <w:szCs w:val="24"/>
        </w:rPr>
        <w:t>EDU34450A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 und ein </w:t>
      </w:r>
      <w:r w:rsidRPr="00157FB8">
        <w:rPr>
          <w:rFonts w:asciiTheme="majorHAnsi" w:eastAsia="Times New Roman" w:hAnsiTheme="majorHAnsi" w:cstheme="majorHAnsi"/>
          <w:sz w:val="22"/>
          <w:szCs w:val="24"/>
        </w:rPr>
        <w:t>Dreifach-DC-Netzteil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285949" w:rsidRPr="00285949">
        <w:rPr>
          <w:rFonts w:asciiTheme="majorHAnsi" w:eastAsia="Times New Roman" w:hAnsiTheme="majorHAnsi" w:cstheme="majorHAnsi"/>
          <w:sz w:val="22"/>
          <w:szCs w:val="24"/>
        </w:rPr>
        <w:t>EDU36311A</w:t>
      </w:r>
      <w:r w:rsidR="00285949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983AFE">
        <w:rPr>
          <w:rFonts w:asciiTheme="majorHAnsi" w:eastAsia="Times New Roman" w:hAnsiTheme="majorHAnsi" w:cstheme="majorHAnsi"/>
          <w:sz w:val="22"/>
          <w:szCs w:val="24"/>
        </w:rPr>
        <w:t xml:space="preserve">Die Funktionsgeneratoren arbeiten mit 2 MHz Bandbreite und sind mit einer 16-bit-Arbiträr-Signal-Funktion ausgestattet. 17 der wichtigsten Signalformen sind integriert, ebenso wie die Modulation. In der Zwei-Kanal-Ausführung lassen sich die beiden Kanäle in Amplitude und Frequenz koppeln. </w:t>
      </w:r>
      <w:r w:rsidR="003D42F0">
        <w:rPr>
          <w:rFonts w:asciiTheme="majorHAnsi" w:eastAsia="Times New Roman" w:hAnsiTheme="majorHAnsi" w:cstheme="majorHAnsi"/>
          <w:sz w:val="22"/>
          <w:szCs w:val="24"/>
        </w:rPr>
        <w:t>Das 5½-stellige</w:t>
      </w:r>
      <w:r w:rsidR="003D42F0" w:rsidRPr="003D42F0">
        <w:rPr>
          <w:rFonts w:asciiTheme="majorHAnsi" w:eastAsia="Times New Roman" w:hAnsiTheme="majorHAnsi" w:cstheme="majorHAnsi"/>
          <w:sz w:val="22"/>
          <w:szCs w:val="24"/>
        </w:rPr>
        <w:t xml:space="preserve"> Digital-Multimeter</w:t>
      </w:r>
      <w:r w:rsidR="003D42F0">
        <w:rPr>
          <w:rFonts w:asciiTheme="majorHAnsi" w:eastAsia="Times New Roman" w:hAnsiTheme="majorHAnsi" w:cstheme="majorHAnsi"/>
          <w:sz w:val="22"/>
          <w:szCs w:val="24"/>
        </w:rPr>
        <w:t xml:space="preserve"> verfügt über 0,015% DCV-Grundgenauigkeit und einen 5000 Punkte Datenlogger-Speicher, außerdem misst es 11 verschiedene Eingangssignale (DC-Spannung, DC-Strom, echten Effektivwert AC-Spannung, AC-Strom, 2- und 4-Leiter-Widerstand, Frequenz, Kontinuität/Durchgang, Diodentest, Temperatur und Kapazität. </w:t>
      </w:r>
      <w:r w:rsidR="00A148F7">
        <w:rPr>
          <w:rFonts w:asciiTheme="majorHAnsi" w:eastAsia="Times New Roman" w:hAnsiTheme="majorHAnsi" w:cstheme="majorHAnsi"/>
          <w:sz w:val="22"/>
          <w:szCs w:val="24"/>
        </w:rPr>
        <w:t xml:space="preserve">Mit dem dreifach-DC-Netzteil hat der Anwender drei unabhängige Stromversorgungen in einem Gerät, die sauber, zuverlässig und mit geringer Ausgangswelligkeit sowie geringem Rauschen arbeiten. </w:t>
      </w:r>
      <w:r w:rsidR="00BC4A55">
        <w:rPr>
          <w:rFonts w:asciiTheme="majorHAnsi" w:eastAsia="Times New Roman" w:hAnsiTheme="majorHAnsi" w:cstheme="majorHAnsi"/>
          <w:sz w:val="22"/>
          <w:szCs w:val="24"/>
        </w:rPr>
        <w:t xml:space="preserve">Die Ausgangsleistung beträgt 6 V/5 A, 30 V/1 A, 30 V/1 A, gesichert sind die Geräte mit einem Überspannungs-, Überstrom- und Übertemperaturschutz (OVP, OCP, OTP). 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Die neuen Laborgeräte der EDU-Serie von Keysight </w:t>
      </w:r>
      <w:r w:rsidR="00746FAE">
        <w:rPr>
          <w:rFonts w:asciiTheme="majorHAnsi" w:eastAsia="Times New Roman" w:hAnsiTheme="majorHAnsi" w:cstheme="majorHAnsi"/>
          <w:sz w:val="22"/>
          <w:szCs w:val="24"/>
        </w:rPr>
        <w:t xml:space="preserve">sind erschwinglich und 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verfügen </w:t>
      </w:r>
      <w:r w:rsidR="006E3101">
        <w:rPr>
          <w:rFonts w:asciiTheme="majorHAnsi" w:eastAsia="Times New Roman" w:hAnsiTheme="majorHAnsi" w:cstheme="majorHAnsi"/>
          <w:sz w:val="22"/>
          <w:szCs w:val="24"/>
        </w:rPr>
        <w:t>gleichzeitig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 über eine ähnliche 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Leistung und Benutzeroberfläche wie einige der meistverkauften industrietauglichen </w:t>
      </w:r>
      <w:r w:rsidR="00746FAE">
        <w:rPr>
          <w:rFonts w:asciiTheme="majorHAnsi" w:eastAsia="Times New Roman" w:hAnsiTheme="majorHAnsi" w:cstheme="majorHAnsi"/>
          <w:sz w:val="22"/>
          <w:szCs w:val="24"/>
        </w:rPr>
        <w:t xml:space="preserve">Prüfgeräte. </w:t>
      </w:r>
      <w:r w:rsidR="00596FDC" w:rsidRPr="00596FDC">
        <w:rPr>
          <w:rFonts w:asciiTheme="majorHAnsi" w:eastAsia="Times New Roman" w:hAnsiTheme="majorHAnsi" w:cstheme="majorHAnsi"/>
          <w:sz w:val="22"/>
          <w:szCs w:val="24"/>
        </w:rPr>
        <w:t xml:space="preserve">Die neue EDU-Serie bietet bezahlbare Technologie auf Industrie-Niveau und damit eine Lösung für alle, die Lehrlabors oder industrielle Bereiche mit einer großen Stückzahl an Messgeräten ausstatten müssen. </w:t>
      </w:r>
      <w:r w:rsidR="007D0D70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9715AA">
        <w:rPr>
          <w:rFonts w:asciiTheme="majorHAnsi" w:eastAsia="Times New Roman" w:hAnsiTheme="majorHAnsi" w:cstheme="majorHAnsi"/>
          <w:sz w:val="22"/>
          <w:szCs w:val="24"/>
        </w:rPr>
        <w:t>hohe Benutzerfreundlichkeit der Geräte zeigt sich</w:t>
      </w:r>
      <w:r w:rsidR="003C3F5A">
        <w:rPr>
          <w:rFonts w:asciiTheme="majorHAnsi" w:eastAsia="Times New Roman" w:hAnsiTheme="majorHAnsi" w:cstheme="majorHAnsi"/>
          <w:sz w:val="22"/>
          <w:szCs w:val="24"/>
        </w:rPr>
        <w:t xml:space="preserve"> u.a.</w:t>
      </w:r>
      <w:r w:rsidR="009715AA"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>charakteristische</w:t>
      </w:r>
      <w:r w:rsidR="009715AA">
        <w:rPr>
          <w:rFonts w:asciiTheme="majorHAnsi" w:eastAsia="Times New Roman" w:hAnsiTheme="majorHAnsi" w:cstheme="majorHAnsi"/>
          <w:sz w:val="22"/>
          <w:szCs w:val="24"/>
        </w:rPr>
        <w:t>n, gut lesbaren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 7-Zoll-Farbdisplay und </w:t>
      </w:r>
      <w:r w:rsidR="009715AA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 kleine</w:t>
      </w:r>
      <w:r w:rsidR="00552E5C">
        <w:rPr>
          <w:rFonts w:asciiTheme="majorHAnsi" w:eastAsia="Times New Roman" w:hAnsiTheme="majorHAnsi" w:cstheme="majorHAnsi"/>
          <w:sz w:val="22"/>
          <w:szCs w:val="24"/>
        </w:rPr>
        <w:t>n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 Stellfläche</w:t>
      </w:r>
      <w:r w:rsidR="00596FDC">
        <w:rPr>
          <w:rFonts w:asciiTheme="majorHAnsi" w:eastAsia="Times New Roman" w:hAnsiTheme="majorHAnsi" w:cstheme="majorHAnsi"/>
          <w:sz w:val="22"/>
          <w:szCs w:val="24"/>
        </w:rPr>
        <w:t>, die problemloses Arbeiten auch auf engem Raum</w:t>
      </w:r>
      <w:r w:rsidR="009715A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67CC6">
        <w:rPr>
          <w:rFonts w:asciiTheme="majorHAnsi" w:eastAsia="Times New Roman" w:hAnsiTheme="majorHAnsi" w:cstheme="majorHAnsi"/>
          <w:sz w:val="22"/>
          <w:szCs w:val="24"/>
        </w:rPr>
        <w:t>ermöglicht</w:t>
      </w:r>
      <w:r w:rsidR="009715AA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EB65F6">
        <w:rPr>
          <w:rFonts w:asciiTheme="majorHAnsi" w:eastAsia="Times New Roman" w:hAnsiTheme="majorHAnsi" w:cstheme="majorHAnsi"/>
          <w:sz w:val="22"/>
          <w:szCs w:val="24"/>
        </w:rPr>
        <w:t xml:space="preserve">Zusätzlich </w:t>
      </w:r>
      <w:r w:rsidR="00667CC6">
        <w:rPr>
          <w:rFonts w:asciiTheme="majorHAnsi" w:eastAsia="Times New Roman" w:hAnsiTheme="majorHAnsi" w:cstheme="majorHAnsi"/>
          <w:sz w:val="22"/>
          <w:szCs w:val="24"/>
        </w:rPr>
        <w:t>erlauben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65F6">
        <w:rPr>
          <w:rFonts w:asciiTheme="majorHAnsi" w:eastAsia="Times New Roman" w:hAnsiTheme="majorHAnsi" w:cstheme="majorHAnsi"/>
          <w:sz w:val="22"/>
          <w:szCs w:val="24"/>
        </w:rPr>
        <w:t xml:space="preserve">neue Software-Tools einen 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Fernzugriff auf </w:t>
      </w:r>
      <w:r w:rsidR="00EB65F6">
        <w:rPr>
          <w:rFonts w:asciiTheme="majorHAnsi" w:eastAsia="Times New Roman" w:hAnsiTheme="majorHAnsi" w:cstheme="majorHAnsi"/>
          <w:sz w:val="22"/>
          <w:szCs w:val="24"/>
        </w:rPr>
        <w:t xml:space="preserve">die Geräte, so dass 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>Laborarbeit</w:t>
      </w:r>
      <w:r w:rsidR="003C3F5A">
        <w:rPr>
          <w:rFonts w:asciiTheme="majorHAnsi" w:eastAsia="Times New Roman" w:hAnsiTheme="majorHAnsi" w:cstheme="majorHAnsi"/>
          <w:sz w:val="22"/>
          <w:szCs w:val="24"/>
        </w:rPr>
        <w:t xml:space="preserve"> nun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 xml:space="preserve"> von überall und zu jeder Zeit</w:t>
      </w:r>
      <w:r w:rsidR="00EB65F6">
        <w:rPr>
          <w:rFonts w:asciiTheme="majorHAnsi" w:eastAsia="Times New Roman" w:hAnsiTheme="majorHAnsi" w:cstheme="majorHAnsi"/>
          <w:sz w:val="22"/>
          <w:szCs w:val="24"/>
        </w:rPr>
        <w:t xml:space="preserve"> möglich ist</w:t>
      </w:r>
      <w:r w:rsidR="00DB6A73" w:rsidRPr="00DB6A73">
        <w:rPr>
          <w:rFonts w:asciiTheme="majorHAnsi" w:eastAsia="Times New Roman" w:hAnsiTheme="majorHAnsi" w:cstheme="majorHAnsi"/>
          <w:sz w:val="22"/>
          <w:szCs w:val="24"/>
        </w:rPr>
        <w:t>.</w:t>
      </w:r>
      <w:r w:rsidR="00B528E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596FDC" w:rsidRDefault="00596FDC" w:rsidP="00DB6A73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8053AF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3C3F5A">
        <w:rPr>
          <w:rFonts w:asciiTheme="majorHAnsi" w:eastAsia="Times New Roman" w:hAnsiTheme="majorHAnsi" w:cstheme="majorHAnsi"/>
          <w:sz w:val="22"/>
          <w:szCs w:val="24"/>
        </w:rPr>
        <w:t>Geräte der EDU-Serie von Keysight</w:t>
      </w:r>
      <w:r w:rsidR="008053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D63107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0E4A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695F"/>
    <w:rsid w:val="003C0965"/>
    <w:rsid w:val="003C1A88"/>
    <w:rsid w:val="003C2854"/>
    <w:rsid w:val="003C3F5A"/>
    <w:rsid w:val="003C6A58"/>
    <w:rsid w:val="003C7661"/>
    <w:rsid w:val="003C77F3"/>
    <w:rsid w:val="003D0C3D"/>
    <w:rsid w:val="003D1D8F"/>
    <w:rsid w:val="003D2787"/>
    <w:rsid w:val="003D42F0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48FD"/>
    <w:rsid w:val="007567F2"/>
    <w:rsid w:val="0076020E"/>
    <w:rsid w:val="00762BF5"/>
    <w:rsid w:val="00764ADA"/>
    <w:rsid w:val="00773E2B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72A"/>
    <w:rsid w:val="00977DCF"/>
    <w:rsid w:val="009837F8"/>
    <w:rsid w:val="00983AFE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A55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0B1"/>
    <w:rsid w:val="00E6028A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65F6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87E7-71DE-49C7-8AEE-47E3041F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546</cp:revision>
  <cp:lastPrinted>2018-03-07T09:44:00Z</cp:lastPrinted>
  <dcterms:created xsi:type="dcterms:W3CDTF">2020-01-22T10:21:00Z</dcterms:created>
  <dcterms:modified xsi:type="dcterms:W3CDTF">2021-02-23T08:16:00Z</dcterms:modified>
</cp:coreProperties>
</file>