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231DF1">
        <w:t>Dezember</w:t>
      </w:r>
      <w:r w:rsidR="0077784B">
        <w:t xml:space="preserve"> 2018</w:t>
      </w:r>
    </w:p>
    <w:p w:rsidR="0031171F" w:rsidRPr="00A849A3" w:rsidRDefault="006E0FE3" w:rsidP="006E0FE3">
      <w:pPr>
        <w:pStyle w:val="PR-Info1"/>
      </w:pPr>
      <w:r w:rsidRPr="00A849A3">
        <w:rPr>
          <w:b/>
        </w:rPr>
        <w:t>Text/</w:t>
      </w:r>
      <w:r w:rsidR="0031171F" w:rsidRPr="00A849A3">
        <w:rPr>
          <w:b/>
        </w:rPr>
        <w:t>Bilder</w:t>
      </w:r>
      <w:r w:rsidRPr="00A849A3">
        <w:rPr>
          <w:b/>
        </w:rPr>
        <w:t xml:space="preserve"> online</w:t>
      </w:r>
      <w:r w:rsidR="0031171F" w:rsidRPr="00A849A3">
        <w:rPr>
          <w:b/>
        </w:rPr>
        <w:t>:</w:t>
      </w:r>
      <w:r w:rsidR="0031171F" w:rsidRPr="00A849A3">
        <w:tab/>
      </w:r>
      <w:hyperlink r:id="rId8" w:history="1">
        <w:r w:rsidR="005379D4">
          <w:rPr>
            <w:rStyle w:val="Hyperlink"/>
          </w:rPr>
          <w:t>https://www.meilhaus.de/infos/news/presse/2018-q4</w:t>
        </w:r>
      </w:hyperlink>
      <w:r w:rsidR="00007979" w:rsidRPr="00A849A3">
        <w:br/>
      </w:r>
      <w:r w:rsidR="00E64A8F" w:rsidRPr="00E64A8F">
        <w:t>PR25-2018-LCR-Elite2</w:t>
      </w:r>
      <w:r w:rsidR="00007979" w:rsidRPr="00A849A3">
        <w:t>.docx</w:t>
      </w:r>
      <w:r w:rsidR="00007979" w:rsidRPr="00A849A3">
        <w:br/>
      </w:r>
      <w:r w:rsidR="00E64A8F" w:rsidRPr="00E64A8F">
        <w:t>PR25-2018-LCR-Elite2</w:t>
      </w:r>
      <w:r w:rsidR="00406161" w:rsidRPr="00406161">
        <w:t>-1</w:t>
      </w:r>
      <w:r w:rsidR="00007979" w:rsidRPr="00A849A3">
        <w:t>.jpg</w:t>
      </w:r>
      <w:r w:rsidR="00007979" w:rsidRPr="00A849A3">
        <w:br/>
      </w:r>
      <w:r w:rsidR="00E64A8F" w:rsidRPr="00E64A8F">
        <w:t>PR25-2018-LCR-Elite2</w:t>
      </w:r>
      <w:r w:rsidR="00406161">
        <w:t>-2</w:t>
      </w:r>
      <w:r w:rsidR="00007979" w:rsidRPr="00A849A3">
        <w:t>.jpg</w:t>
      </w:r>
    </w:p>
    <w:p w:rsidR="0031171F" w:rsidRPr="00026131" w:rsidRDefault="0031171F" w:rsidP="006E0FE3">
      <w:pPr>
        <w:pStyle w:val="PR-Info1"/>
      </w:pPr>
      <w:r w:rsidRPr="00026131">
        <w:rPr>
          <w:b/>
        </w:rPr>
        <w:t>Thema/Subject:</w:t>
      </w:r>
      <w:r w:rsidRPr="00026131">
        <w:tab/>
      </w:r>
      <w:r w:rsidR="00E64A8F" w:rsidRPr="00026131">
        <w:t>LCR Elite2</w:t>
      </w:r>
      <w:r w:rsidR="009D0542" w:rsidRPr="00026131">
        <w:t xml:space="preserve"> </w:t>
      </w:r>
      <w:r w:rsidR="005E31DB" w:rsidRPr="00026131">
        <w:t>b</w:t>
      </w:r>
      <w:r w:rsidR="00867422" w:rsidRPr="00026131">
        <w:t>ei Meilhaus Electronic GmbH</w:t>
      </w:r>
      <w:r w:rsidRPr="00026131">
        <w:t>.</w:t>
      </w:r>
    </w:p>
    <w:p w:rsidR="006E0FE3" w:rsidRPr="00026131" w:rsidRDefault="006E0FE3" w:rsidP="006E0FE3">
      <w:pPr>
        <w:pStyle w:val="PR-Info1"/>
      </w:pPr>
      <w:r w:rsidRPr="00026131">
        <w:rPr>
          <w:b/>
        </w:rPr>
        <w:t>Sperrfrist:</w:t>
      </w:r>
      <w:r w:rsidRPr="00026131">
        <w:tab/>
        <w:t>-</w:t>
      </w:r>
    </w:p>
    <w:p w:rsidR="002A1835" w:rsidRPr="001064FD" w:rsidRDefault="001064FD" w:rsidP="006E0FE3">
      <w:pPr>
        <w:pStyle w:val="PR-Head1"/>
      </w:pPr>
      <w:r w:rsidRPr="001064FD">
        <w:t>LCR Elite2</w:t>
      </w:r>
    </w:p>
    <w:p w:rsidR="00EF3E9B" w:rsidRPr="0031171F" w:rsidRDefault="00E41CA5" w:rsidP="00476FA9">
      <w:pPr>
        <w:pStyle w:val="PR-Head2"/>
      </w:pPr>
      <w:r w:rsidRPr="00E41CA5">
        <w:t xml:space="preserve">Erweitertes </w:t>
      </w:r>
      <w:r w:rsidR="00A723B7">
        <w:t>LCR-</w:t>
      </w:r>
      <w:r w:rsidRPr="00E41CA5">
        <w:t xml:space="preserve">Pinzetten-Meter mit Überspannungsschutz </w:t>
      </w:r>
      <w:r w:rsidR="001064FD">
        <w:t>von LCR Research</w:t>
      </w:r>
    </w:p>
    <w:p w:rsidR="00FB5EEE" w:rsidRDefault="00171CFA" w:rsidP="00AA6B6D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231DF1">
        <w:rPr>
          <w:b/>
        </w:rPr>
        <w:t>Dezember</w:t>
      </w:r>
      <w:r w:rsidRPr="00084111">
        <w:rPr>
          <w:b/>
        </w:rPr>
        <w:t xml:space="preserve"> 2018 –</w:t>
      </w:r>
      <w:r w:rsidR="00271126">
        <w:rPr>
          <w:b/>
        </w:rPr>
        <w:t xml:space="preserve"> </w:t>
      </w:r>
      <w:r w:rsidR="001F56B6">
        <w:rPr>
          <w:b/>
        </w:rPr>
        <w:t>Das LCR Elite2 ist das neueste Handheld-LCR Meter der Elite-Serie aus dem Hause LCR Research.</w:t>
      </w:r>
      <w:r w:rsidR="00D814E0">
        <w:rPr>
          <w:b/>
        </w:rPr>
        <w:t xml:space="preserve"> </w:t>
      </w:r>
      <w:r w:rsidR="00B32358">
        <w:rPr>
          <w:b/>
        </w:rPr>
        <w:t xml:space="preserve">Es handelt sich um ein erweitertes Basis-LCR-Pinzetten-Meter mit hoher Genauigkeit und Überspannungsschutz. Das LCR Elite2 </w:t>
      </w:r>
      <w:r w:rsidR="00D814E0">
        <w:rPr>
          <w:b/>
        </w:rPr>
        <w:t xml:space="preserve">beeindruckt durch </w:t>
      </w:r>
      <w:r w:rsidR="001074DE">
        <w:rPr>
          <w:b/>
        </w:rPr>
        <w:t>s</w:t>
      </w:r>
      <w:r w:rsidR="00D814E0">
        <w:rPr>
          <w:b/>
        </w:rPr>
        <w:t>ein verändertes, modernes Design ebenso wie durch einige zusätzliche Funktionen</w:t>
      </w:r>
      <w:r w:rsidR="00FB5EEE">
        <w:rPr>
          <w:b/>
        </w:rPr>
        <w:t xml:space="preserve">, die das </w:t>
      </w:r>
      <w:r w:rsidR="00C62F2F">
        <w:rPr>
          <w:b/>
        </w:rPr>
        <w:t>Durchführen von</w:t>
      </w:r>
      <w:r w:rsidR="00FB5EEE">
        <w:rPr>
          <w:b/>
        </w:rPr>
        <w:t xml:space="preserve"> LCR-Messungen noch komfortabler machen. </w:t>
      </w:r>
      <w:r w:rsidR="00587DB3">
        <w:rPr>
          <w:b/>
        </w:rPr>
        <w:t>Die Basisgenauigkeit liegt bei</w:t>
      </w:r>
      <w:r w:rsidR="00AA3BE1">
        <w:rPr>
          <w:b/>
        </w:rPr>
        <w:t>m LCR Elite2 bei</w:t>
      </w:r>
      <w:r w:rsidR="00587DB3">
        <w:rPr>
          <w:b/>
        </w:rPr>
        <w:t xml:space="preserve"> </w:t>
      </w:r>
      <w:r w:rsidR="00412C54" w:rsidRPr="00412C54">
        <w:rPr>
          <w:b/>
        </w:rPr>
        <w:t>0,2% (Widerstand), 0,2% (Kapazität), 0,4% (Induktivität)</w:t>
      </w:r>
      <w:r w:rsidR="00412C54">
        <w:rPr>
          <w:b/>
        </w:rPr>
        <w:t xml:space="preserve">. Außerdem </w:t>
      </w:r>
      <w:r w:rsidR="005945C1">
        <w:rPr>
          <w:b/>
        </w:rPr>
        <w:t>ist</w:t>
      </w:r>
      <w:r w:rsidR="00412C54">
        <w:rPr>
          <w:b/>
        </w:rPr>
        <w:t xml:space="preserve"> das </w:t>
      </w:r>
      <w:r w:rsidR="00412C54" w:rsidRPr="00412C54">
        <w:rPr>
          <w:b/>
        </w:rPr>
        <w:t xml:space="preserve">LCR Elite2 </w:t>
      </w:r>
      <w:r w:rsidR="005945C1">
        <w:rPr>
          <w:b/>
        </w:rPr>
        <w:t>mit der neuartigen, hausintern entwickelte</w:t>
      </w:r>
      <w:r w:rsidR="00D55254">
        <w:rPr>
          <w:b/>
        </w:rPr>
        <w:t>n</w:t>
      </w:r>
      <w:r w:rsidR="005945C1">
        <w:rPr>
          <w:b/>
        </w:rPr>
        <w:t xml:space="preserve"> Aegis-Technologie ausgestattet</w:t>
      </w:r>
      <w:r w:rsidR="00C92630">
        <w:rPr>
          <w:b/>
        </w:rPr>
        <w:t>. Diese sorgt für eine automatische Trennung der Überspannung vom LCR-Meter und gewährleistet so e</w:t>
      </w:r>
      <w:r w:rsidR="005945C1">
        <w:rPr>
          <w:b/>
        </w:rPr>
        <w:t xml:space="preserve">inen Überspannungsschutz bis </w:t>
      </w:r>
      <w:r w:rsidR="00C92630">
        <w:rPr>
          <w:b/>
        </w:rPr>
        <w:t>±</w:t>
      </w:r>
      <w:r w:rsidR="005945C1">
        <w:rPr>
          <w:b/>
        </w:rPr>
        <w:t>48 V</w:t>
      </w:r>
      <w:r w:rsidR="005945C1" w:rsidRPr="00C92630">
        <w:rPr>
          <w:b/>
          <w:i/>
        </w:rPr>
        <w:t>DC</w:t>
      </w:r>
      <w:r w:rsidR="005945C1">
        <w:rPr>
          <w:b/>
        </w:rPr>
        <w:t xml:space="preserve"> (oder </w:t>
      </w:r>
      <w:r w:rsidR="00C92630">
        <w:rPr>
          <w:b/>
        </w:rPr>
        <w:t>±</w:t>
      </w:r>
      <w:r w:rsidR="005945C1">
        <w:rPr>
          <w:b/>
        </w:rPr>
        <w:t>V</w:t>
      </w:r>
      <w:r w:rsidR="005945C1" w:rsidRPr="00C92630">
        <w:rPr>
          <w:b/>
          <w:i/>
        </w:rPr>
        <w:t>AC</w:t>
      </w:r>
      <w:r w:rsidR="005945C1">
        <w:rPr>
          <w:b/>
        </w:rPr>
        <w:t>) zwischen den Testspitzen</w:t>
      </w:r>
      <w:r w:rsidR="00C92630">
        <w:rPr>
          <w:b/>
        </w:rPr>
        <w:t xml:space="preserve">. </w:t>
      </w:r>
    </w:p>
    <w:p w:rsidR="00D27A49" w:rsidRDefault="00B32358" w:rsidP="00AA6B6D">
      <w:pPr>
        <w:pStyle w:val="PR-FT"/>
      </w:pPr>
      <w:r w:rsidRPr="00B32358">
        <w:t>Das LCR Elite2 ist</w:t>
      </w:r>
      <w:r w:rsidR="00131745">
        <w:t xml:space="preserve"> ein hochgenau arbeitendes</w:t>
      </w:r>
      <w:r w:rsidRPr="00B32358">
        <w:t xml:space="preserve"> LCR-Meter </w:t>
      </w:r>
      <w:r w:rsidR="00131745">
        <w:t>zum Messen von</w:t>
      </w:r>
      <w:r w:rsidR="00131745" w:rsidRPr="00131745">
        <w:t xml:space="preserve"> Induktivität (L), Kapazität (C) und Widerstand (R).</w:t>
      </w:r>
      <w:r w:rsidR="00131745">
        <w:t xml:space="preserve"> </w:t>
      </w:r>
      <w:r w:rsidR="002757BB">
        <w:t>Die vergoldeten Präzisionsspitzen e</w:t>
      </w:r>
      <w:r w:rsidR="002757BB" w:rsidRPr="002757BB">
        <w:t>rmöglichen einfaches, zuverlässiges und punktgenaues Kontaktieren von SMD-Komponenten bis herunter auf 0201.</w:t>
      </w:r>
      <w:r w:rsidR="00BA187C">
        <w:t xml:space="preserve"> </w:t>
      </w:r>
      <w:r w:rsidR="00BA187C" w:rsidRPr="00BA187C">
        <w:t>Die geschirmte 4-Draht Messspitze/Probe sorgt für hohe Messgenauigkeit und reduziert parasitäre Parameter auf ein Minimum.</w:t>
      </w:r>
      <w:r w:rsidR="00D27A49">
        <w:t xml:space="preserve"> Das LCR Elite2 ist </w:t>
      </w:r>
      <w:r w:rsidR="005C63E4">
        <w:t xml:space="preserve">mit einer handlichen Größe von 151 x 19 x </w:t>
      </w:r>
      <w:r w:rsidR="00A723B7" w:rsidRPr="00A723B7">
        <w:t>14</w:t>
      </w:r>
      <w:r w:rsidR="005C63E4" w:rsidRPr="00A723B7">
        <w:t>,5</w:t>
      </w:r>
      <w:r w:rsidR="005C63E4">
        <w:t xml:space="preserve"> mm der ideale Partner für den mobilen Einsatz.</w:t>
      </w:r>
      <w:r w:rsidR="00D27A49">
        <w:t xml:space="preserve"> Auch </w:t>
      </w:r>
      <w:r w:rsidR="005C63E4">
        <w:t>die</w:t>
      </w:r>
      <w:r w:rsidR="00D27A49">
        <w:t xml:space="preserve"> praktische Handhabung ist dank technischer Neuerungen noch bequemer als bei seinen Vorgängern. </w:t>
      </w:r>
      <w:r w:rsidR="00EB131C">
        <w:t xml:space="preserve">Die Bedienung erfolgt über eine einzige Taste, </w:t>
      </w:r>
      <w:r w:rsidR="005A6C22">
        <w:t>ein Set an Shortcuts erlaubt eine schnelle Einhand-</w:t>
      </w:r>
      <w:r w:rsidR="005C63E4">
        <w:t>Handhabung</w:t>
      </w:r>
      <w:r w:rsidR="00026131">
        <w:t xml:space="preserve"> und eine</w:t>
      </w:r>
      <w:r w:rsidR="00EB131C">
        <w:t xml:space="preserve"> </w:t>
      </w:r>
      <w:r w:rsidR="00463CAE">
        <w:t>scharfe OLED-Anzeige ermöglicht das einfache Ablesen der Testergebnisse.</w:t>
      </w:r>
      <w:r w:rsidR="005C63E4">
        <w:t xml:space="preserve"> Das LCR Elite2 hat vier Testfrequenzen von jeweils </w:t>
      </w:r>
      <w:r w:rsidR="005C63E4" w:rsidRPr="005C63E4">
        <w:t>100Hz, 120Hz, 1kHz, 10kHz</w:t>
      </w:r>
      <w:r w:rsidR="005C63E4">
        <w:t xml:space="preserve">, es verfügt über einen weiten Messbereich </w:t>
      </w:r>
      <w:r w:rsidR="00AF7990">
        <w:t xml:space="preserve">von </w:t>
      </w:r>
      <w:r w:rsidR="005C63E4" w:rsidRPr="005C63E4">
        <w:t xml:space="preserve">R: 20mΩ </w:t>
      </w:r>
      <w:r w:rsidR="00FB1EBC">
        <w:t>bis</w:t>
      </w:r>
      <w:r w:rsidR="00A723B7">
        <w:t xml:space="preserve"> 10MΩ, C: 0,</w:t>
      </w:r>
      <w:r w:rsidR="005C63E4" w:rsidRPr="005C63E4">
        <w:t xml:space="preserve">1pF </w:t>
      </w:r>
      <w:r w:rsidR="00FB1EBC">
        <w:t>bis</w:t>
      </w:r>
      <w:r w:rsidR="00A723B7">
        <w:t xml:space="preserve"> 5mF, L: 0,</w:t>
      </w:r>
      <w:r w:rsidR="005C63E4" w:rsidRPr="005C63E4">
        <w:t xml:space="preserve">1uH </w:t>
      </w:r>
      <w:r w:rsidR="00FB1EBC">
        <w:t>bis</w:t>
      </w:r>
      <w:r w:rsidR="005C63E4" w:rsidRPr="005C63E4">
        <w:t xml:space="preserve"> 1H</w:t>
      </w:r>
      <w:r w:rsidR="00FB1EBC">
        <w:t xml:space="preserve"> und ist zudem mit einer wiederaufladbaren LIPO-Batterie sowie einem USB-Anschluss ausgestattet</w:t>
      </w:r>
      <w:r w:rsidR="00AA3BE1">
        <w:t xml:space="preserve"> (der USB-Anschluss dient ausschließlich zum Laden des Akkus)</w:t>
      </w:r>
      <w:bookmarkStart w:id="0" w:name="_GoBack"/>
      <w:bookmarkEnd w:id="0"/>
      <w:r w:rsidR="00FB1EBC">
        <w:t>.</w:t>
      </w:r>
      <w:r w:rsidR="00AF7990">
        <w:t xml:space="preserve"> Neu ist weiterhin die hausintern entwickelte Aegis-Technologie, die eine Überspannung automatisch vom LCR-Meter trennt und eine „OVER-VOLT“-Meldung anzeigt. </w:t>
      </w:r>
      <w:r w:rsidR="00971486">
        <w:t>Mit der Aegis-Technologie ist ein Überspannungsschutz bis ±48 V</w:t>
      </w:r>
      <w:r w:rsidR="00971486">
        <w:rPr>
          <w:i/>
          <w:iCs/>
        </w:rPr>
        <w:t>DC</w:t>
      </w:r>
      <w:r w:rsidR="00971486">
        <w:t xml:space="preserve"> (oder ±34 V</w:t>
      </w:r>
      <w:r w:rsidR="00971486">
        <w:rPr>
          <w:i/>
          <w:iCs/>
        </w:rPr>
        <w:t>AC</w:t>
      </w:r>
      <w:r w:rsidR="00971486" w:rsidRPr="00971486">
        <w:rPr>
          <w:iCs/>
        </w:rPr>
        <w:t>)</w:t>
      </w:r>
      <w:r w:rsidR="00971486">
        <w:rPr>
          <w:iCs/>
        </w:rPr>
        <w:t xml:space="preserve"> zwischen den Testspitzen garantiert. </w:t>
      </w:r>
    </w:p>
    <w:p w:rsidR="004F19A6" w:rsidRDefault="004F19A6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Erhältlich</w:t>
      </w:r>
      <w:r w:rsidR="009F1A2D">
        <w:rPr>
          <w:sz w:val="22"/>
          <w:szCs w:val="22"/>
        </w:rPr>
        <w:t xml:space="preserve"> </w:t>
      </w:r>
      <w:r w:rsidR="005C63E4">
        <w:rPr>
          <w:sz w:val="22"/>
          <w:szCs w:val="22"/>
        </w:rPr>
        <w:t>ist das LCR Elite2</w:t>
      </w:r>
      <w:r>
        <w:rPr>
          <w:sz w:val="22"/>
          <w:szCs w:val="22"/>
        </w:rPr>
        <w:t xml:space="preserve"> </w:t>
      </w:r>
      <w:r w:rsidR="00970346">
        <w:rPr>
          <w:sz w:val="22"/>
          <w:szCs w:val="22"/>
        </w:rPr>
        <w:t xml:space="preserve"> </w:t>
      </w:r>
      <w:r w:rsidR="00B241AF">
        <w:rPr>
          <w:sz w:val="22"/>
          <w:szCs w:val="22"/>
        </w:rPr>
        <w:t>im</w:t>
      </w:r>
      <w:r>
        <w:rPr>
          <w:sz w:val="22"/>
          <w:szCs w:val="22"/>
        </w:rPr>
        <w:t xml:space="preserve">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9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>Alles rund um die PC-Messtechnik: Messwerterfassung, Steuerung und Datenübertragung in Labor und Industrie. Mit der MEcademy bietet Meilhaus Electronic zudem Trainings und Schulungen für Software, Kabeltester und Messgeräte an.</w:t>
      </w:r>
    </w:p>
    <w:p w:rsidR="008016C4" w:rsidRPr="00084111" w:rsidRDefault="008016C4" w:rsidP="008016C4">
      <w:pPr>
        <w:pStyle w:val="PR-Boilerplate"/>
      </w:pPr>
      <w:r w:rsidRPr="00084111">
        <w:t xml:space="preserve">Erfahren Sie mehr unter </w:t>
      </w:r>
      <w:hyperlink r:id="rId10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11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12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3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4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AA3BE1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DE" w:rsidRDefault="00301DDE" w:rsidP="00301DDE">
      <w:r>
        <w:separator/>
      </w:r>
    </w:p>
  </w:endnote>
  <w:endnote w:type="continuationSeparator" w:id="0">
    <w:p w:rsidR="00301DDE" w:rsidRDefault="00301DDE" w:rsidP="0030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DE" w:rsidRDefault="00301DDE" w:rsidP="00301DDE">
      <w:r>
        <w:separator/>
      </w:r>
    </w:p>
  </w:footnote>
  <w:footnote w:type="continuationSeparator" w:id="0">
    <w:p w:rsidR="00301DDE" w:rsidRDefault="00301DDE" w:rsidP="0030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16122"/>
    <w:rsid w:val="0002174A"/>
    <w:rsid w:val="00026131"/>
    <w:rsid w:val="000351BE"/>
    <w:rsid w:val="00054604"/>
    <w:rsid w:val="00056D08"/>
    <w:rsid w:val="00060B9C"/>
    <w:rsid w:val="00076205"/>
    <w:rsid w:val="00092E10"/>
    <w:rsid w:val="000A373A"/>
    <w:rsid w:val="000C111C"/>
    <w:rsid w:val="000D08CB"/>
    <w:rsid w:val="000D1B2E"/>
    <w:rsid w:val="000D22FA"/>
    <w:rsid w:val="000E7658"/>
    <w:rsid w:val="000F055E"/>
    <w:rsid w:val="000F647F"/>
    <w:rsid w:val="0010009F"/>
    <w:rsid w:val="001064FD"/>
    <w:rsid w:val="001074DE"/>
    <w:rsid w:val="001147A8"/>
    <w:rsid w:val="00117632"/>
    <w:rsid w:val="00131745"/>
    <w:rsid w:val="0013747E"/>
    <w:rsid w:val="001379CC"/>
    <w:rsid w:val="00154D5F"/>
    <w:rsid w:val="00162B1D"/>
    <w:rsid w:val="00171CFA"/>
    <w:rsid w:val="0018149A"/>
    <w:rsid w:val="00190CFD"/>
    <w:rsid w:val="0019224C"/>
    <w:rsid w:val="00192288"/>
    <w:rsid w:val="00194C78"/>
    <w:rsid w:val="001C2236"/>
    <w:rsid w:val="001C2326"/>
    <w:rsid w:val="001C32C7"/>
    <w:rsid w:val="001C771F"/>
    <w:rsid w:val="001D0DD1"/>
    <w:rsid w:val="001D4058"/>
    <w:rsid w:val="001D7783"/>
    <w:rsid w:val="001E0D93"/>
    <w:rsid w:val="001E350D"/>
    <w:rsid w:val="001E4A3A"/>
    <w:rsid w:val="001F56B6"/>
    <w:rsid w:val="00227898"/>
    <w:rsid w:val="00231DF1"/>
    <w:rsid w:val="00244FA5"/>
    <w:rsid w:val="002458F9"/>
    <w:rsid w:val="00250ADA"/>
    <w:rsid w:val="00253B49"/>
    <w:rsid w:val="00254E33"/>
    <w:rsid w:val="002602DE"/>
    <w:rsid w:val="002619D1"/>
    <w:rsid w:val="00262F28"/>
    <w:rsid w:val="00271126"/>
    <w:rsid w:val="002757BB"/>
    <w:rsid w:val="002866F4"/>
    <w:rsid w:val="00294FF7"/>
    <w:rsid w:val="00297369"/>
    <w:rsid w:val="002A1835"/>
    <w:rsid w:val="002A4D2F"/>
    <w:rsid w:val="002B01BB"/>
    <w:rsid w:val="002B3AC1"/>
    <w:rsid w:val="002C09CF"/>
    <w:rsid w:val="002C0CEF"/>
    <w:rsid w:val="002D18C6"/>
    <w:rsid w:val="002D2492"/>
    <w:rsid w:val="002E4D87"/>
    <w:rsid w:val="002E6F10"/>
    <w:rsid w:val="002E7891"/>
    <w:rsid w:val="002F6F39"/>
    <w:rsid w:val="00301DDE"/>
    <w:rsid w:val="00302920"/>
    <w:rsid w:val="0031171F"/>
    <w:rsid w:val="00326A6A"/>
    <w:rsid w:val="00327126"/>
    <w:rsid w:val="00347520"/>
    <w:rsid w:val="003511BE"/>
    <w:rsid w:val="00351D8F"/>
    <w:rsid w:val="00355F74"/>
    <w:rsid w:val="00357D9D"/>
    <w:rsid w:val="0036313F"/>
    <w:rsid w:val="00370BE6"/>
    <w:rsid w:val="003A32C4"/>
    <w:rsid w:val="003B2D13"/>
    <w:rsid w:val="003B3C4D"/>
    <w:rsid w:val="003B695F"/>
    <w:rsid w:val="003C1A88"/>
    <w:rsid w:val="003C77F3"/>
    <w:rsid w:val="003D16D8"/>
    <w:rsid w:val="003D2787"/>
    <w:rsid w:val="003D62B9"/>
    <w:rsid w:val="003D666E"/>
    <w:rsid w:val="00401780"/>
    <w:rsid w:val="00406161"/>
    <w:rsid w:val="004070B8"/>
    <w:rsid w:val="00407616"/>
    <w:rsid w:val="004101E7"/>
    <w:rsid w:val="00412C54"/>
    <w:rsid w:val="004219CB"/>
    <w:rsid w:val="00421D46"/>
    <w:rsid w:val="004302E7"/>
    <w:rsid w:val="0043156D"/>
    <w:rsid w:val="00431D21"/>
    <w:rsid w:val="004379C5"/>
    <w:rsid w:val="004442C5"/>
    <w:rsid w:val="004442F0"/>
    <w:rsid w:val="004549AA"/>
    <w:rsid w:val="004563CC"/>
    <w:rsid w:val="00457CFB"/>
    <w:rsid w:val="00463CAE"/>
    <w:rsid w:val="00476FA9"/>
    <w:rsid w:val="00480830"/>
    <w:rsid w:val="004836D0"/>
    <w:rsid w:val="00485FD7"/>
    <w:rsid w:val="0049405B"/>
    <w:rsid w:val="00497AFF"/>
    <w:rsid w:val="004A34EC"/>
    <w:rsid w:val="004B3217"/>
    <w:rsid w:val="004B34FF"/>
    <w:rsid w:val="004B4679"/>
    <w:rsid w:val="004C190F"/>
    <w:rsid w:val="004D3307"/>
    <w:rsid w:val="004E0FAF"/>
    <w:rsid w:val="004E4E6C"/>
    <w:rsid w:val="004F19A6"/>
    <w:rsid w:val="004F40D7"/>
    <w:rsid w:val="004F5DCB"/>
    <w:rsid w:val="005122B3"/>
    <w:rsid w:val="005151FE"/>
    <w:rsid w:val="00517B5B"/>
    <w:rsid w:val="0052379D"/>
    <w:rsid w:val="005379D4"/>
    <w:rsid w:val="005444A6"/>
    <w:rsid w:val="00545BD3"/>
    <w:rsid w:val="00555DFC"/>
    <w:rsid w:val="005575B8"/>
    <w:rsid w:val="00570DE3"/>
    <w:rsid w:val="00571360"/>
    <w:rsid w:val="00573290"/>
    <w:rsid w:val="00586F9C"/>
    <w:rsid w:val="00587DB3"/>
    <w:rsid w:val="00590690"/>
    <w:rsid w:val="00590EA6"/>
    <w:rsid w:val="005945A1"/>
    <w:rsid w:val="005945C1"/>
    <w:rsid w:val="005970AF"/>
    <w:rsid w:val="00597757"/>
    <w:rsid w:val="005A0D18"/>
    <w:rsid w:val="005A2A05"/>
    <w:rsid w:val="005A2A07"/>
    <w:rsid w:val="005A3AB8"/>
    <w:rsid w:val="005A5A56"/>
    <w:rsid w:val="005A6C22"/>
    <w:rsid w:val="005B7A1C"/>
    <w:rsid w:val="005C3D07"/>
    <w:rsid w:val="005C54BD"/>
    <w:rsid w:val="005C6229"/>
    <w:rsid w:val="005C63E4"/>
    <w:rsid w:val="005D585F"/>
    <w:rsid w:val="005E1CE2"/>
    <w:rsid w:val="005E2780"/>
    <w:rsid w:val="005E31DB"/>
    <w:rsid w:val="005E3F4A"/>
    <w:rsid w:val="005E5D33"/>
    <w:rsid w:val="005E626D"/>
    <w:rsid w:val="005F3647"/>
    <w:rsid w:val="005F448A"/>
    <w:rsid w:val="005F45E8"/>
    <w:rsid w:val="005F4787"/>
    <w:rsid w:val="005F5290"/>
    <w:rsid w:val="005F5BB5"/>
    <w:rsid w:val="0061495C"/>
    <w:rsid w:val="00622683"/>
    <w:rsid w:val="006227F7"/>
    <w:rsid w:val="00622F7E"/>
    <w:rsid w:val="00630FFF"/>
    <w:rsid w:val="00632AAD"/>
    <w:rsid w:val="00632F9F"/>
    <w:rsid w:val="0064174A"/>
    <w:rsid w:val="00647D21"/>
    <w:rsid w:val="00662FEA"/>
    <w:rsid w:val="00673DF9"/>
    <w:rsid w:val="00676B88"/>
    <w:rsid w:val="00682BDB"/>
    <w:rsid w:val="006926E5"/>
    <w:rsid w:val="00694DAF"/>
    <w:rsid w:val="006A329A"/>
    <w:rsid w:val="006A783A"/>
    <w:rsid w:val="006C2257"/>
    <w:rsid w:val="006D0EFC"/>
    <w:rsid w:val="006D22D3"/>
    <w:rsid w:val="006D294A"/>
    <w:rsid w:val="006D4FB4"/>
    <w:rsid w:val="006E0FE3"/>
    <w:rsid w:val="006E3EA8"/>
    <w:rsid w:val="006F1693"/>
    <w:rsid w:val="006F75D0"/>
    <w:rsid w:val="00704322"/>
    <w:rsid w:val="00711D80"/>
    <w:rsid w:val="00713B34"/>
    <w:rsid w:val="00714CE1"/>
    <w:rsid w:val="007344B7"/>
    <w:rsid w:val="00740524"/>
    <w:rsid w:val="00743AA6"/>
    <w:rsid w:val="00743C89"/>
    <w:rsid w:val="00745F25"/>
    <w:rsid w:val="007548FD"/>
    <w:rsid w:val="007567F2"/>
    <w:rsid w:val="0076020E"/>
    <w:rsid w:val="00761FCF"/>
    <w:rsid w:val="00764ADA"/>
    <w:rsid w:val="0077784B"/>
    <w:rsid w:val="0078382D"/>
    <w:rsid w:val="00791022"/>
    <w:rsid w:val="0079327B"/>
    <w:rsid w:val="007A6E0D"/>
    <w:rsid w:val="007A74B8"/>
    <w:rsid w:val="007A7D33"/>
    <w:rsid w:val="007B028F"/>
    <w:rsid w:val="007B4E56"/>
    <w:rsid w:val="007F3150"/>
    <w:rsid w:val="008016C4"/>
    <w:rsid w:val="00813006"/>
    <w:rsid w:val="008151EF"/>
    <w:rsid w:val="008165E6"/>
    <w:rsid w:val="00821DF0"/>
    <w:rsid w:val="00827A00"/>
    <w:rsid w:val="00831BF5"/>
    <w:rsid w:val="00833706"/>
    <w:rsid w:val="008370B3"/>
    <w:rsid w:val="00840B95"/>
    <w:rsid w:val="0084212D"/>
    <w:rsid w:val="008437E0"/>
    <w:rsid w:val="00851F17"/>
    <w:rsid w:val="00864A72"/>
    <w:rsid w:val="00864C3D"/>
    <w:rsid w:val="00867422"/>
    <w:rsid w:val="00882F54"/>
    <w:rsid w:val="0089120E"/>
    <w:rsid w:val="008A3B42"/>
    <w:rsid w:val="008B0FB8"/>
    <w:rsid w:val="008B1599"/>
    <w:rsid w:val="008B21FC"/>
    <w:rsid w:val="008B3F74"/>
    <w:rsid w:val="008C1DFA"/>
    <w:rsid w:val="008D1638"/>
    <w:rsid w:val="008E3F02"/>
    <w:rsid w:val="008E6C98"/>
    <w:rsid w:val="008F0D9C"/>
    <w:rsid w:val="00907DAD"/>
    <w:rsid w:val="00916014"/>
    <w:rsid w:val="00922437"/>
    <w:rsid w:val="00922728"/>
    <w:rsid w:val="00924AFA"/>
    <w:rsid w:val="009256D6"/>
    <w:rsid w:val="00926C86"/>
    <w:rsid w:val="00930CD8"/>
    <w:rsid w:val="0093547E"/>
    <w:rsid w:val="009444AB"/>
    <w:rsid w:val="009446BF"/>
    <w:rsid w:val="0095112B"/>
    <w:rsid w:val="00955DA9"/>
    <w:rsid w:val="00965C36"/>
    <w:rsid w:val="00970346"/>
    <w:rsid w:val="009710C1"/>
    <w:rsid w:val="00971486"/>
    <w:rsid w:val="009733B5"/>
    <w:rsid w:val="00975213"/>
    <w:rsid w:val="0097623F"/>
    <w:rsid w:val="00983F5A"/>
    <w:rsid w:val="00991328"/>
    <w:rsid w:val="0099463F"/>
    <w:rsid w:val="00997109"/>
    <w:rsid w:val="009B1470"/>
    <w:rsid w:val="009C425B"/>
    <w:rsid w:val="009D0542"/>
    <w:rsid w:val="009D425B"/>
    <w:rsid w:val="009E3AE8"/>
    <w:rsid w:val="009F1272"/>
    <w:rsid w:val="009F1A2D"/>
    <w:rsid w:val="00A129AF"/>
    <w:rsid w:val="00A23CD3"/>
    <w:rsid w:val="00A34A3F"/>
    <w:rsid w:val="00A4240F"/>
    <w:rsid w:val="00A437CA"/>
    <w:rsid w:val="00A45DA5"/>
    <w:rsid w:val="00A628C5"/>
    <w:rsid w:val="00A64EA8"/>
    <w:rsid w:val="00A67B13"/>
    <w:rsid w:val="00A723B7"/>
    <w:rsid w:val="00A736DE"/>
    <w:rsid w:val="00A75A5E"/>
    <w:rsid w:val="00A849A3"/>
    <w:rsid w:val="00A91381"/>
    <w:rsid w:val="00AA1C98"/>
    <w:rsid w:val="00AA3BE1"/>
    <w:rsid w:val="00AA6B6D"/>
    <w:rsid w:val="00AA6ED0"/>
    <w:rsid w:val="00AB2DDD"/>
    <w:rsid w:val="00AC594F"/>
    <w:rsid w:val="00AC6C1C"/>
    <w:rsid w:val="00AC725A"/>
    <w:rsid w:val="00AD0D6F"/>
    <w:rsid w:val="00AD4AAD"/>
    <w:rsid w:val="00AE6848"/>
    <w:rsid w:val="00AF6B19"/>
    <w:rsid w:val="00AF7990"/>
    <w:rsid w:val="00B01265"/>
    <w:rsid w:val="00B050E2"/>
    <w:rsid w:val="00B241AF"/>
    <w:rsid w:val="00B245B4"/>
    <w:rsid w:val="00B24ED2"/>
    <w:rsid w:val="00B25EB2"/>
    <w:rsid w:val="00B32358"/>
    <w:rsid w:val="00B378BA"/>
    <w:rsid w:val="00B44ED4"/>
    <w:rsid w:val="00B50543"/>
    <w:rsid w:val="00B5303F"/>
    <w:rsid w:val="00B55B9C"/>
    <w:rsid w:val="00B5785C"/>
    <w:rsid w:val="00B75E01"/>
    <w:rsid w:val="00B82CC2"/>
    <w:rsid w:val="00B87FAB"/>
    <w:rsid w:val="00B90623"/>
    <w:rsid w:val="00B9221F"/>
    <w:rsid w:val="00B92D7A"/>
    <w:rsid w:val="00BA0CA6"/>
    <w:rsid w:val="00BA187C"/>
    <w:rsid w:val="00BA76E1"/>
    <w:rsid w:val="00BB7D95"/>
    <w:rsid w:val="00BD327C"/>
    <w:rsid w:val="00BD4AC9"/>
    <w:rsid w:val="00BE100C"/>
    <w:rsid w:val="00BE73AC"/>
    <w:rsid w:val="00BE759E"/>
    <w:rsid w:val="00C145C8"/>
    <w:rsid w:val="00C14966"/>
    <w:rsid w:val="00C1681E"/>
    <w:rsid w:val="00C3177D"/>
    <w:rsid w:val="00C34596"/>
    <w:rsid w:val="00C474C8"/>
    <w:rsid w:val="00C60D5B"/>
    <w:rsid w:val="00C62F2F"/>
    <w:rsid w:val="00C70662"/>
    <w:rsid w:val="00C73243"/>
    <w:rsid w:val="00C86E75"/>
    <w:rsid w:val="00C92630"/>
    <w:rsid w:val="00CA09ED"/>
    <w:rsid w:val="00CA1867"/>
    <w:rsid w:val="00CA1E3B"/>
    <w:rsid w:val="00CA3B18"/>
    <w:rsid w:val="00CA738B"/>
    <w:rsid w:val="00CB02D3"/>
    <w:rsid w:val="00CC08F8"/>
    <w:rsid w:val="00CC3806"/>
    <w:rsid w:val="00CD3F51"/>
    <w:rsid w:val="00CE081C"/>
    <w:rsid w:val="00D019DB"/>
    <w:rsid w:val="00D101A2"/>
    <w:rsid w:val="00D1128C"/>
    <w:rsid w:val="00D15CBA"/>
    <w:rsid w:val="00D26535"/>
    <w:rsid w:val="00D27A49"/>
    <w:rsid w:val="00D370BA"/>
    <w:rsid w:val="00D4599F"/>
    <w:rsid w:val="00D5214F"/>
    <w:rsid w:val="00D55254"/>
    <w:rsid w:val="00D622E6"/>
    <w:rsid w:val="00D66A00"/>
    <w:rsid w:val="00D73329"/>
    <w:rsid w:val="00D75487"/>
    <w:rsid w:val="00D76B6D"/>
    <w:rsid w:val="00D77FAC"/>
    <w:rsid w:val="00D814E0"/>
    <w:rsid w:val="00D90C67"/>
    <w:rsid w:val="00D90E29"/>
    <w:rsid w:val="00D914A6"/>
    <w:rsid w:val="00D966C0"/>
    <w:rsid w:val="00DA6887"/>
    <w:rsid w:val="00DB2A4E"/>
    <w:rsid w:val="00DB616C"/>
    <w:rsid w:val="00E17497"/>
    <w:rsid w:val="00E20AFC"/>
    <w:rsid w:val="00E25F7F"/>
    <w:rsid w:val="00E266B5"/>
    <w:rsid w:val="00E30B2D"/>
    <w:rsid w:val="00E41736"/>
    <w:rsid w:val="00E41CA5"/>
    <w:rsid w:val="00E5305F"/>
    <w:rsid w:val="00E538D5"/>
    <w:rsid w:val="00E53D3B"/>
    <w:rsid w:val="00E63B6F"/>
    <w:rsid w:val="00E64A8F"/>
    <w:rsid w:val="00E64A9F"/>
    <w:rsid w:val="00E712D6"/>
    <w:rsid w:val="00E74F45"/>
    <w:rsid w:val="00E81723"/>
    <w:rsid w:val="00E81765"/>
    <w:rsid w:val="00E82C79"/>
    <w:rsid w:val="00E84553"/>
    <w:rsid w:val="00E90B6F"/>
    <w:rsid w:val="00EA3682"/>
    <w:rsid w:val="00EA562D"/>
    <w:rsid w:val="00EB131C"/>
    <w:rsid w:val="00EB2AF5"/>
    <w:rsid w:val="00EB7DEA"/>
    <w:rsid w:val="00ED5FA8"/>
    <w:rsid w:val="00ED6BB7"/>
    <w:rsid w:val="00EE3623"/>
    <w:rsid w:val="00EF0DD1"/>
    <w:rsid w:val="00EF3E9B"/>
    <w:rsid w:val="00EF6238"/>
    <w:rsid w:val="00F010A5"/>
    <w:rsid w:val="00F17870"/>
    <w:rsid w:val="00F25481"/>
    <w:rsid w:val="00F26BB6"/>
    <w:rsid w:val="00F44024"/>
    <w:rsid w:val="00F57819"/>
    <w:rsid w:val="00F672D0"/>
    <w:rsid w:val="00F77BD1"/>
    <w:rsid w:val="00F826F4"/>
    <w:rsid w:val="00FA6B99"/>
    <w:rsid w:val="00FB1EBC"/>
    <w:rsid w:val="00FB5EEE"/>
    <w:rsid w:val="00FC1C92"/>
    <w:rsid w:val="00FC55B6"/>
    <w:rsid w:val="00FD3596"/>
    <w:rsid w:val="00FD7DB9"/>
    <w:rsid w:val="00FE317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01D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DDE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01D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DDE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infos/news/presse/2018-q4" TargetMode="External"/><Relationship Id="rId13" Type="http://schemas.openxmlformats.org/officeDocument/2006/relationships/hyperlink" Target="mailto:e.bratz@meilhau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cademy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http://www.meilhaus.de/infos/news/pres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D304-8D5A-4512-B0CA-100AC6B7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27</cp:revision>
  <cp:lastPrinted>2018-03-07T09:44:00Z</cp:lastPrinted>
  <dcterms:created xsi:type="dcterms:W3CDTF">2018-11-26T08:03:00Z</dcterms:created>
  <dcterms:modified xsi:type="dcterms:W3CDTF">2018-11-27T13:15:00Z</dcterms:modified>
</cp:coreProperties>
</file>