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CD6DE0">
        <w:t>Oktober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067F0F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CD6DE0" w:rsidRPr="00CD6DE0">
        <w:t>PR28-2019-Siglent-SVA-1032</w:t>
      </w:r>
      <w:r w:rsidR="00007979" w:rsidRPr="00602CDA">
        <w:t>.docx</w:t>
      </w:r>
      <w:r w:rsidR="00007979" w:rsidRPr="00602CDA">
        <w:br/>
      </w:r>
      <w:r w:rsidR="00CD6DE0" w:rsidRPr="00CD6DE0">
        <w:t xml:space="preserve">PR28-2019-Siglent-SVA-1032 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CD6DE0" w:rsidRPr="00CD6DE0">
        <w:t xml:space="preserve">PR28-2019-Siglent-SVA-1032 </w:t>
      </w:r>
      <w:r w:rsidR="00406161" w:rsidRPr="00602CDA">
        <w:t>-2</w:t>
      </w:r>
      <w:r w:rsidR="00007979" w:rsidRPr="00602CDA">
        <w:t>.jpg</w:t>
      </w:r>
    </w:p>
    <w:p w:rsidR="0031171F" w:rsidRPr="0053596C" w:rsidRDefault="0031171F" w:rsidP="006E0FE3">
      <w:pPr>
        <w:pStyle w:val="PR-Info1"/>
        <w:rPr>
          <w:lang w:val="en-US"/>
        </w:rPr>
      </w:pPr>
      <w:r w:rsidRPr="0053596C">
        <w:rPr>
          <w:b/>
          <w:lang w:val="en-US"/>
        </w:rPr>
        <w:t>Thema/Subject:</w:t>
      </w:r>
      <w:r w:rsidRPr="0053596C">
        <w:rPr>
          <w:lang w:val="en-US"/>
        </w:rPr>
        <w:tab/>
      </w:r>
      <w:r w:rsidR="001276D9">
        <w:rPr>
          <w:lang w:val="en-US"/>
        </w:rPr>
        <w:t>Siglent SVA1032X</w:t>
      </w:r>
      <w:r w:rsidR="0053596C" w:rsidRPr="0053596C">
        <w:rPr>
          <w:lang w:val="en-US"/>
        </w:rPr>
        <w:t xml:space="preserve"> </w:t>
      </w:r>
      <w:r w:rsidR="005E31DB" w:rsidRPr="0053596C">
        <w:rPr>
          <w:lang w:val="en-US"/>
        </w:rPr>
        <w:t>b</w:t>
      </w:r>
      <w:r w:rsidR="00867422" w:rsidRPr="0053596C">
        <w:rPr>
          <w:lang w:val="en-US"/>
        </w:rPr>
        <w:t>ei Meilhaus Electronic GmbH</w:t>
      </w:r>
      <w:r w:rsidRPr="0053596C">
        <w:rPr>
          <w:lang w:val="en-US"/>
        </w:rPr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496D5E" w:rsidRDefault="00A2797E" w:rsidP="006E0FE3">
      <w:pPr>
        <w:pStyle w:val="PR-Head1"/>
      </w:pPr>
      <w:r w:rsidRPr="00A2797E">
        <w:t>Spektrum-/Vektor-Netzwerk-Analysator</w:t>
      </w:r>
      <w:r>
        <w:t xml:space="preserve"> </w:t>
      </w:r>
      <w:r w:rsidR="00363420">
        <w:t>SVA</w:t>
      </w:r>
      <w:r w:rsidR="00331588">
        <w:t>1032X</w:t>
      </w:r>
      <w:r>
        <w:t xml:space="preserve"> von Siglent</w:t>
      </w:r>
    </w:p>
    <w:p w:rsidR="00EF3E9B" w:rsidRPr="00496D5E" w:rsidRDefault="001276D9" w:rsidP="00476FA9">
      <w:pPr>
        <w:pStyle w:val="PR-Head2"/>
      </w:pPr>
      <w:r>
        <w:t xml:space="preserve">Erweiterter Frequenzbereich und </w:t>
      </w:r>
      <w:r w:rsidR="00680C5D">
        <w:t>mehr Performance für SVA1000X-Serie</w:t>
      </w:r>
    </w:p>
    <w:p w:rsidR="00B677DD" w:rsidRDefault="00116270" w:rsidP="00116270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CD6DE0">
        <w:rPr>
          <w:b/>
        </w:rPr>
        <w:t>Oktober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>
        <w:rPr>
          <w:b/>
        </w:rPr>
        <w:t xml:space="preserve"> </w:t>
      </w:r>
      <w:r w:rsidR="00B907F4" w:rsidRPr="00B907F4">
        <w:rPr>
          <w:b/>
        </w:rPr>
        <w:t>Die Spektrum- und vektoriellen Netzwerk-Analysatoren der Sig</w:t>
      </w:r>
      <w:r w:rsidR="00B907F4">
        <w:rPr>
          <w:b/>
        </w:rPr>
        <w:t>lent SVA1000X-</w:t>
      </w:r>
      <w:r w:rsidR="00B907F4" w:rsidRPr="00B907F4">
        <w:rPr>
          <w:b/>
        </w:rPr>
        <w:t xml:space="preserve">Serie sind leistungsstarke und flexible Werkzeuge für die Prüfung von Rundfunk- und HF-Geräten. </w:t>
      </w:r>
      <w:r w:rsidR="00B907F4">
        <w:rPr>
          <w:b/>
        </w:rPr>
        <w:t xml:space="preserve">Sie sind mit einem weiten </w:t>
      </w:r>
      <w:r w:rsidR="00B907F4" w:rsidRPr="00B907F4">
        <w:rPr>
          <w:b/>
        </w:rPr>
        <w:t xml:space="preserve">Frequenz-Bereich von 9 </w:t>
      </w:r>
      <w:r w:rsidR="00B907F4">
        <w:rPr>
          <w:b/>
        </w:rPr>
        <w:t xml:space="preserve">kHz bis 1,5 GHz </w:t>
      </w:r>
      <w:r w:rsidR="002E359F">
        <w:rPr>
          <w:b/>
        </w:rPr>
        <w:t>(SVA1015</w:t>
      </w:r>
      <w:r w:rsidR="00B907F4">
        <w:rPr>
          <w:b/>
        </w:rPr>
        <w:t>X) oder 9 kHz bis 3,2 GHz (SVA1032X) ausgestattet und liefern z</w:t>
      </w:r>
      <w:r w:rsidR="00B907F4" w:rsidRPr="00B907F4">
        <w:rPr>
          <w:b/>
        </w:rPr>
        <w:t>uverlässige automatische Messungen</w:t>
      </w:r>
      <w:r w:rsidR="00B907F4">
        <w:rPr>
          <w:b/>
        </w:rPr>
        <w:t>.</w:t>
      </w:r>
      <w:r w:rsidR="00907DFD">
        <w:rPr>
          <w:b/>
        </w:rPr>
        <w:t xml:space="preserve"> Beide </w:t>
      </w:r>
      <w:r w:rsidR="007B7D6B">
        <w:rPr>
          <w:b/>
        </w:rPr>
        <w:t>Modelle</w:t>
      </w:r>
      <w:r w:rsidR="00907DFD">
        <w:rPr>
          <w:b/>
        </w:rPr>
        <w:t xml:space="preserve"> verfügen über einen Tr</w:t>
      </w:r>
      <w:r w:rsidR="00B907F4" w:rsidRPr="00B907F4">
        <w:rPr>
          <w:b/>
        </w:rPr>
        <w:t>acking-Generator und mehrere Betriebsarten: Das Basismodell ist ein gesweepter Super-Heterodyn-Spektrum-Analysator und Vektor-Netzwerk-Analysator. Optional hinzu kommen ein Distanz-Fehlerortungsgerät basierend auf einem Frequenzbe</w:t>
      </w:r>
      <w:r w:rsidR="00907DFD">
        <w:rPr>
          <w:b/>
        </w:rPr>
        <w:t>reichs-Reflektometer sowie ein</w:t>
      </w:r>
      <w:r w:rsidR="00B907F4" w:rsidRPr="00B907F4">
        <w:rPr>
          <w:b/>
        </w:rPr>
        <w:t xml:space="preserve"> Modulations-Analysator. </w:t>
      </w:r>
      <w:r w:rsidR="006842CC">
        <w:rPr>
          <w:b/>
        </w:rPr>
        <w:t xml:space="preserve">Der SVA1032 </w:t>
      </w:r>
      <w:r w:rsidR="00594E87">
        <w:rPr>
          <w:b/>
        </w:rPr>
        <w:t>bietet</w:t>
      </w:r>
      <w:r w:rsidR="006842CC">
        <w:rPr>
          <w:b/>
        </w:rPr>
        <w:t xml:space="preserve"> einen erweiterten Frequenzbereich</w:t>
      </w:r>
      <w:r w:rsidR="008C14F1">
        <w:rPr>
          <w:b/>
        </w:rPr>
        <w:t xml:space="preserve"> von 9 kHz bis </w:t>
      </w:r>
      <w:r w:rsidR="00BE053D" w:rsidRPr="00BE053D">
        <w:rPr>
          <w:b/>
        </w:rPr>
        <w:t>3,2 GHz</w:t>
      </w:r>
      <w:r w:rsidR="008C14F1">
        <w:rPr>
          <w:b/>
        </w:rPr>
        <w:t xml:space="preserve"> und</w:t>
      </w:r>
      <w:r w:rsidR="00BE053D">
        <w:rPr>
          <w:b/>
        </w:rPr>
        <w:t xml:space="preserve"> </w:t>
      </w:r>
      <w:r w:rsidR="008C14F1">
        <w:rPr>
          <w:b/>
        </w:rPr>
        <w:t xml:space="preserve">damit verbunden eine reduzierte Eigenrauschleistung </w:t>
      </w:r>
      <w:r w:rsidR="00594E87">
        <w:rPr>
          <w:b/>
        </w:rPr>
        <w:t>(</w:t>
      </w:r>
      <w:r w:rsidR="00BE053D" w:rsidRPr="00BE053D">
        <w:rPr>
          <w:b/>
        </w:rPr>
        <w:t>typ. -161 dBm/Hz</w:t>
      </w:r>
      <w:r w:rsidR="00594E87">
        <w:rPr>
          <w:b/>
        </w:rPr>
        <w:t>)</w:t>
      </w:r>
      <w:r w:rsidR="00BE053D">
        <w:rPr>
          <w:b/>
        </w:rPr>
        <w:t>, einen erweiterten Tracking-Generator</w:t>
      </w:r>
      <w:r w:rsidR="00127DAC">
        <w:rPr>
          <w:b/>
        </w:rPr>
        <w:t xml:space="preserve"> (</w:t>
      </w:r>
      <w:r w:rsidR="00127DAC" w:rsidRPr="00127DAC">
        <w:rPr>
          <w:b/>
        </w:rPr>
        <w:t>100 kHz</w:t>
      </w:r>
      <w:r w:rsidR="00456139">
        <w:rPr>
          <w:b/>
        </w:rPr>
        <w:t xml:space="preserve"> bis 3,2 GHz; RBW 100 Hz bis </w:t>
      </w:r>
      <w:r w:rsidR="00127DAC">
        <w:rPr>
          <w:b/>
        </w:rPr>
        <w:t xml:space="preserve">1 MHz im </w:t>
      </w:r>
      <w:r w:rsidR="00127DAC" w:rsidRPr="00127DAC">
        <w:rPr>
          <w:b/>
        </w:rPr>
        <w:t>Sweep-Modus)</w:t>
      </w:r>
      <w:r w:rsidR="00127DAC">
        <w:rPr>
          <w:b/>
        </w:rPr>
        <w:t xml:space="preserve"> </w:t>
      </w:r>
      <w:r w:rsidR="00BE053D">
        <w:rPr>
          <w:b/>
        </w:rPr>
        <w:t xml:space="preserve">und </w:t>
      </w:r>
      <w:r w:rsidR="005D7387">
        <w:rPr>
          <w:b/>
        </w:rPr>
        <w:t xml:space="preserve">einen erweiterten Messbereich für die </w:t>
      </w:r>
      <w:r w:rsidR="000266AB">
        <w:rPr>
          <w:b/>
        </w:rPr>
        <w:t>v</w:t>
      </w:r>
      <w:bookmarkStart w:id="0" w:name="_GoBack"/>
      <w:bookmarkEnd w:id="0"/>
      <w:r w:rsidR="005D7387" w:rsidRPr="005D7387">
        <w:rPr>
          <w:b/>
        </w:rPr>
        <w:t>ektorielle Netzwerk-Analyse</w:t>
      </w:r>
      <w:r w:rsidR="005D7387">
        <w:rPr>
          <w:b/>
        </w:rPr>
        <w:t xml:space="preserve">. </w:t>
      </w:r>
    </w:p>
    <w:p w:rsidR="00195E75" w:rsidRDefault="0082612B" w:rsidP="00116270">
      <w:pPr>
        <w:pStyle w:val="PR-FT"/>
        <w:rPr>
          <w:sz w:val="22"/>
        </w:rPr>
      </w:pPr>
      <w:r w:rsidRPr="001F3B6A">
        <w:rPr>
          <w:sz w:val="22"/>
        </w:rPr>
        <w:t xml:space="preserve">Die Anwendungsbereiche </w:t>
      </w:r>
      <w:r w:rsidR="007B7D6B">
        <w:rPr>
          <w:sz w:val="22"/>
        </w:rPr>
        <w:t xml:space="preserve">der SVA1000X-Serie </w:t>
      </w:r>
      <w:r w:rsidRPr="001F3B6A">
        <w:rPr>
          <w:sz w:val="22"/>
        </w:rPr>
        <w:t>liegen in der Run</w:t>
      </w:r>
      <w:r w:rsidR="00B907F4" w:rsidRPr="001F3B6A">
        <w:rPr>
          <w:sz w:val="22"/>
        </w:rPr>
        <w:t>dfunküberwachung/-bewertung, Standortvermessung,</w:t>
      </w:r>
      <w:r w:rsidR="00B677DD" w:rsidRPr="001F3B6A">
        <w:rPr>
          <w:sz w:val="22"/>
        </w:rPr>
        <w:t xml:space="preserve"> EMV Pre-Compliance</w:t>
      </w:r>
      <w:r w:rsidR="00B907F4" w:rsidRPr="001F3B6A">
        <w:rPr>
          <w:sz w:val="22"/>
        </w:rPr>
        <w:t>, Forschung und Entwicklung, B</w:t>
      </w:r>
      <w:r w:rsidR="007B7D6B">
        <w:rPr>
          <w:sz w:val="22"/>
        </w:rPr>
        <w:t xml:space="preserve">ildung, Produktion und Wartung. Mit der Einführung des neuen Modells SVA1032X wurde die Serie nicht nur mit einem erweiterten Frequenzbereich und mehr Performance ausgestattet, zusätzlich wurde die bisher optionale </w:t>
      </w:r>
      <w:r w:rsidR="007B7D6B" w:rsidRPr="007B7D6B">
        <w:rPr>
          <w:sz w:val="22"/>
        </w:rPr>
        <w:t>Vektor-Netzwerk-Analyse-Funktion</w:t>
      </w:r>
      <w:r w:rsidR="007B7D6B">
        <w:rPr>
          <w:sz w:val="22"/>
        </w:rPr>
        <w:t xml:space="preserve"> standardmäßig für alle Modelle der Serie </w:t>
      </w:r>
      <w:r w:rsidR="001965E4">
        <w:rPr>
          <w:sz w:val="22"/>
        </w:rPr>
        <w:t xml:space="preserve">freigeschaltet. </w:t>
      </w:r>
      <w:r w:rsidR="00182D75">
        <w:rPr>
          <w:sz w:val="22"/>
        </w:rPr>
        <w:t xml:space="preserve">Mithilfe der </w:t>
      </w:r>
      <w:r w:rsidR="00182D75" w:rsidRPr="007B7D6B">
        <w:rPr>
          <w:sz w:val="22"/>
        </w:rPr>
        <w:t>Vektor-Netzwerk-Analyse-Funktion</w:t>
      </w:r>
      <w:r w:rsidR="00182D75">
        <w:rPr>
          <w:sz w:val="22"/>
        </w:rPr>
        <w:t xml:space="preserve"> lassen sich </w:t>
      </w:r>
      <w:r w:rsidR="00C32FEA">
        <w:rPr>
          <w:sz w:val="22"/>
        </w:rPr>
        <w:t xml:space="preserve">auch </w:t>
      </w:r>
      <w:r w:rsidR="00182D75">
        <w:rPr>
          <w:sz w:val="22"/>
        </w:rPr>
        <w:t xml:space="preserve">komplexere Aufgaben durchführen, etwa eine Optimierung der Anpassung von Verstärkern oder Antennen. </w:t>
      </w:r>
      <w:r w:rsidR="00A9417F">
        <w:rPr>
          <w:sz w:val="22"/>
        </w:rPr>
        <w:t xml:space="preserve">Neu ist außerdem, dass beide </w:t>
      </w:r>
      <w:r w:rsidR="00A76245">
        <w:rPr>
          <w:sz w:val="22"/>
        </w:rPr>
        <w:t>Modelle der SVA1000X-Serie optional mit weiteren</w:t>
      </w:r>
      <w:r w:rsidR="00DC3D10">
        <w:rPr>
          <w:sz w:val="22"/>
        </w:rPr>
        <w:t>, neuen</w:t>
      </w:r>
      <w:r w:rsidR="00A76245">
        <w:rPr>
          <w:sz w:val="22"/>
        </w:rPr>
        <w:t xml:space="preserve"> Messfunktionen </w:t>
      </w:r>
      <w:r w:rsidR="003F772B">
        <w:rPr>
          <w:sz w:val="22"/>
        </w:rPr>
        <w:t>ausgestattet werden</w:t>
      </w:r>
      <w:r w:rsidR="00A9417F">
        <w:rPr>
          <w:sz w:val="22"/>
        </w:rPr>
        <w:t xml:space="preserve"> können</w:t>
      </w:r>
      <w:r w:rsidR="00A76245">
        <w:rPr>
          <w:sz w:val="22"/>
        </w:rPr>
        <w:t xml:space="preserve">. </w:t>
      </w:r>
      <w:r w:rsidR="00195E75">
        <w:rPr>
          <w:sz w:val="22"/>
        </w:rPr>
        <w:t xml:space="preserve">Mit der Option </w:t>
      </w:r>
      <w:r w:rsidR="00195E75" w:rsidRPr="00195E75">
        <w:rPr>
          <w:sz w:val="22"/>
        </w:rPr>
        <w:t>SVA1000X-AMK</w:t>
      </w:r>
      <w:r w:rsidR="00195E75">
        <w:rPr>
          <w:sz w:val="22"/>
        </w:rPr>
        <w:t xml:space="preserve"> lassen sich neben </w:t>
      </w:r>
      <w:r w:rsidR="00195E75" w:rsidRPr="00195E75">
        <w:rPr>
          <w:sz w:val="22"/>
        </w:rPr>
        <w:t xml:space="preserve">Messungen der Kanalleistung (CP), </w:t>
      </w:r>
      <w:r w:rsidR="00195E75">
        <w:rPr>
          <w:sz w:val="22"/>
        </w:rPr>
        <w:t xml:space="preserve">der </w:t>
      </w:r>
      <w:r w:rsidR="00195E75" w:rsidRPr="00195E75">
        <w:rPr>
          <w:sz w:val="22"/>
        </w:rPr>
        <w:t>Nachbarkanalleistung (ACPR),</w:t>
      </w:r>
      <w:r w:rsidR="00195E75">
        <w:rPr>
          <w:sz w:val="22"/>
        </w:rPr>
        <w:t xml:space="preserve"> der</w:t>
      </w:r>
      <w:r w:rsidR="00195E75" w:rsidRPr="00195E75">
        <w:rPr>
          <w:sz w:val="22"/>
        </w:rPr>
        <w:t xml:space="preserve"> belegten Bandbreite (OBW), TOI und Wasserfal</w:t>
      </w:r>
      <w:r w:rsidR="00195E75">
        <w:rPr>
          <w:sz w:val="22"/>
        </w:rPr>
        <w:t>ldiagramm (Monitor) nun auch</w:t>
      </w:r>
      <w:r w:rsidR="00195E75" w:rsidRPr="00195E75">
        <w:rPr>
          <w:sz w:val="22"/>
        </w:rPr>
        <w:t xml:space="preserve"> Messung</w:t>
      </w:r>
      <w:r w:rsidR="00195E75">
        <w:rPr>
          <w:sz w:val="22"/>
        </w:rPr>
        <w:t>en</w:t>
      </w:r>
      <w:r w:rsidR="00195E75" w:rsidRPr="00195E75">
        <w:rPr>
          <w:sz w:val="22"/>
        </w:rPr>
        <w:t xml:space="preserve"> der Harmonischen und des Träger/Rausch-Verhältnisses (CNR) </w:t>
      </w:r>
      <w:r w:rsidR="00195E75">
        <w:rPr>
          <w:sz w:val="22"/>
        </w:rPr>
        <w:t>durchführen</w:t>
      </w:r>
      <w:r w:rsidR="00195E75" w:rsidRPr="00195E75">
        <w:rPr>
          <w:sz w:val="22"/>
        </w:rPr>
        <w:t>.</w:t>
      </w:r>
      <w:r w:rsidR="00A776BA">
        <w:rPr>
          <w:sz w:val="22"/>
        </w:rPr>
        <w:t xml:space="preserve"> </w:t>
      </w:r>
      <w:r w:rsidR="00BB5754">
        <w:rPr>
          <w:sz w:val="22"/>
        </w:rPr>
        <w:t xml:space="preserve">Mit der Option </w:t>
      </w:r>
      <w:r w:rsidR="00BB5754" w:rsidRPr="00BB5754">
        <w:rPr>
          <w:sz w:val="22"/>
        </w:rPr>
        <w:t>SVA1000X-</w:t>
      </w:r>
      <w:r w:rsidR="00BB5754" w:rsidRPr="00BB5754">
        <w:rPr>
          <w:sz w:val="22"/>
        </w:rPr>
        <w:lastRenderedPageBreak/>
        <w:t>AMA/DMA</w:t>
      </w:r>
      <w:r w:rsidR="00BB5754">
        <w:rPr>
          <w:sz w:val="22"/>
        </w:rPr>
        <w:t xml:space="preserve"> </w:t>
      </w:r>
      <w:r w:rsidR="001D10F3">
        <w:rPr>
          <w:sz w:val="22"/>
        </w:rPr>
        <w:t>lassen sich</w:t>
      </w:r>
      <w:r w:rsidR="00A9417F">
        <w:rPr>
          <w:sz w:val="22"/>
        </w:rPr>
        <w:t xml:space="preserve"> außerdem</w:t>
      </w:r>
      <w:r w:rsidR="001D10F3">
        <w:rPr>
          <w:sz w:val="22"/>
        </w:rPr>
        <w:t xml:space="preserve"> </w:t>
      </w:r>
      <w:r w:rsidR="00DB1DC0">
        <w:rPr>
          <w:sz w:val="22"/>
        </w:rPr>
        <w:t>Analyse-Funktionen für analoge (</w:t>
      </w:r>
      <w:r w:rsidR="00DB1DC0" w:rsidRPr="00DB1DC0">
        <w:rPr>
          <w:sz w:val="22"/>
        </w:rPr>
        <w:t>AM, FM</w:t>
      </w:r>
      <w:r w:rsidR="00DB1DC0">
        <w:rPr>
          <w:sz w:val="22"/>
        </w:rPr>
        <w:t>) und digitale (</w:t>
      </w:r>
      <w:r w:rsidR="00DB1DC0" w:rsidRPr="00DB1DC0">
        <w:rPr>
          <w:sz w:val="22"/>
        </w:rPr>
        <w:t>ASK, FSK, xQAM, MSK, xPSK</w:t>
      </w:r>
      <w:r w:rsidR="00DB1DC0">
        <w:rPr>
          <w:sz w:val="22"/>
        </w:rPr>
        <w:t>) Modulationen freischalten.</w:t>
      </w:r>
      <w:r w:rsidR="00656621">
        <w:rPr>
          <w:sz w:val="22"/>
        </w:rPr>
        <w:t xml:space="preserve"> </w:t>
      </w:r>
    </w:p>
    <w:p w:rsidR="0000343C" w:rsidRDefault="00CA5CF7" w:rsidP="0000343C">
      <w:pPr>
        <w:pStyle w:val="PR-FT"/>
        <w:rPr>
          <w:sz w:val="22"/>
        </w:rPr>
      </w:pPr>
      <w:r>
        <w:rPr>
          <w:sz w:val="22"/>
        </w:rPr>
        <w:t xml:space="preserve">Der </w:t>
      </w:r>
      <w:r w:rsidR="0000343C">
        <w:rPr>
          <w:sz w:val="22"/>
        </w:rPr>
        <w:t xml:space="preserve">SVA1032X </w:t>
      </w:r>
      <w:r>
        <w:rPr>
          <w:sz w:val="22"/>
        </w:rPr>
        <w:t xml:space="preserve">bis 3,2 GHz vereint </w:t>
      </w:r>
      <w:r w:rsidRPr="00CF1DCB">
        <w:rPr>
          <w:sz w:val="22"/>
        </w:rPr>
        <w:t>Spektrum- und vektorielle Netzwerkanalyse in einem Gerät</w:t>
      </w:r>
      <w:r>
        <w:rPr>
          <w:sz w:val="22"/>
        </w:rPr>
        <w:t xml:space="preserve">. Der Messbereich der vektoriellen Netzwerkanalyse liegt bei </w:t>
      </w:r>
      <w:r w:rsidRPr="00CA5CF7">
        <w:rPr>
          <w:sz w:val="22"/>
        </w:rPr>
        <w:t>100 kHz...3,2 GHz</w:t>
      </w:r>
      <w:r>
        <w:rPr>
          <w:sz w:val="22"/>
        </w:rPr>
        <w:t xml:space="preserve"> und der Dynamik-Bereich bei 75 dB (100 kHz...10 MHz) / 60 dB (10 MHz...1,5 GHz) / </w:t>
      </w:r>
      <w:r w:rsidRPr="00CA5CF7">
        <w:rPr>
          <w:sz w:val="22"/>
        </w:rPr>
        <w:t>55 dB (1,5...3,2 GHz)</w:t>
      </w:r>
      <w:r>
        <w:rPr>
          <w:sz w:val="22"/>
        </w:rPr>
        <w:t xml:space="preserve">. Die Eigenrauschleistung ist </w:t>
      </w:r>
      <w:r w:rsidRPr="00CA5CF7">
        <w:rPr>
          <w:sz w:val="22"/>
        </w:rPr>
        <w:t>typ. -161 dBm/Hz</w:t>
      </w:r>
      <w:r>
        <w:rPr>
          <w:sz w:val="22"/>
        </w:rPr>
        <w:t xml:space="preserve">, die </w:t>
      </w:r>
      <w:r w:rsidRPr="00CA5CF7">
        <w:rPr>
          <w:sz w:val="22"/>
        </w:rPr>
        <w:t>Gesamt</w:t>
      </w:r>
      <w:r>
        <w:rPr>
          <w:sz w:val="22"/>
        </w:rPr>
        <w:t>-</w:t>
      </w:r>
      <w:r w:rsidRPr="00CA5CF7">
        <w:rPr>
          <w:sz w:val="22"/>
        </w:rPr>
        <w:t>Amplituden-Präzision</w:t>
      </w:r>
      <w:r>
        <w:rPr>
          <w:sz w:val="22"/>
        </w:rPr>
        <w:t xml:space="preserve"> weniger als </w:t>
      </w:r>
      <w:r w:rsidRPr="00CA5CF7">
        <w:rPr>
          <w:sz w:val="22"/>
        </w:rPr>
        <w:t>0,7 dB</w:t>
      </w:r>
      <w:r>
        <w:rPr>
          <w:sz w:val="22"/>
        </w:rPr>
        <w:t xml:space="preserve">. </w:t>
      </w:r>
      <w:r w:rsidR="00EE05AF">
        <w:rPr>
          <w:sz w:val="22"/>
        </w:rPr>
        <w:t>Das Gerät i</w:t>
      </w:r>
      <w:r>
        <w:rPr>
          <w:sz w:val="22"/>
        </w:rPr>
        <w:t xml:space="preserve">st </w:t>
      </w:r>
      <w:r w:rsidR="0000343C">
        <w:rPr>
          <w:sz w:val="22"/>
        </w:rPr>
        <w:t xml:space="preserve">mit einem </w:t>
      </w:r>
      <w:r w:rsidR="0000343C" w:rsidRPr="00DA44A0">
        <w:rPr>
          <w:sz w:val="22"/>
        </w:rPr>
        <w:t>10,1-Zoll</w:t>
      </w:r>
      <w:r w:rsidR="0000343C">
        <w:rPr>
          <w:sz w:val="22"/>
        </w:rPr>
        <w:t>-/</w:t>
      </w:r>
      <w:r w:rsidR="0000343C" w:rsidRPr="00E677AF">
        <w:rPr>
          <w:sz w:val="22"/>
        </w:rPr>
        <w:t>25,7-cm</w:t>
      </w:r>
      <w:r w:rsidR="0000343C" w:rsidRPr="00DA44A0">
        <w:rPr>
          <w:sz w:val="22"/>
        </w:rPr>
        <w:t>-</w:t>
      </w:r>
      <w:r w:rsidR="0000343C">
        <w:rPr>
          <w:sz w:val="22"/>
        </w:rPr>
        <w:t>Multi-</w:t>
      </w:r>
      <w:r w:rsidR="0000343C" w:rsidRPr="00DA44A0">
        <w:rPr>
          <w:sz w:val="22"/>
        </w:rPr>
        <w:t>Touch</w:t>
      </w:r>
      <w:r w:rsidR="0000343C">
        <w:rPr>
          <w:sz w:val="22"/>
        </w:rPr>
        <w:t>-S</w:t>
      </w:r>
      <w:r w:rsidR="0000343C" w:rsidRPr="00DA44A0">
        <w:rPr>
          <w:sz w:val="22"/>
        </w:rPr>
        <w:t>creen</w:t>
      </w:r>
      <w:r w:rsidR="0000343C">
        <w:rPr>
          <w:sz w:val="22"/>
        </w:rPr>
        <w:t xml:space="preserve"> ausgestattet.</w:t>
      </w:r>
      <w:r w:rsidR="0000343C" w:rsidRPr="00DA44A0">
        <w:t xml:space="preserve"> </w:t>
      </w:r>
      <w:r w:rsidR="0000343C">
        <w:rPr>
          <w:sz w:val="22"/>
        </w:rPr>
        <w:t xml:space="preserve">PC und Mobil-Terminals erlauben eine Fernsteuerung mit Web-Browser und der Anschluss von Maus und Tastatur garantiert eine komfortable Bedienung. Standardmäßig integrierte Schnittstellen sind </w:t>
      </w:r>
      <w:r w:rsidR="004E534F">
        <w:rPr>
          <w:sz w:val="22"/>
        </w:rPr>
        <w:t>USB Host u</w:t>
      </w:r>
      <w:r w:rsidR="0000343C" w:rsidRPr="00EF1CCF">
        <w:rPr>
          <w:sz w:val="22"/>
        </w:rPr>
        <w:t>nd Device, Ethernet/LAN</w:t>
      </w:r>
      <w:r w:rsidR="0000343C">
        <w:rPr>
          <w:sz w:val="22"/>
        </w:rPr>
        <w:t>, optional ist GPIB.</w:t>
      </w:r>
      <w:r>
        <w:rPr>
          <w:sz w:val="22"/>
        </w:rPr>
        <w:t xml:space="preserve"> </w:t>
      </w:r>
    </w:p>
    <w:p w:rsidR="00182D75" w:rsidRDefault="0000343C" w:rsidP="00EF1CCF">
      <w:pPr>
        <w:pStyle w:val="PR-FT"/>
        <w:rPr>
          <w:sz w:val="22"/>
        </w:rPr>
      </w:pPr>
      <w:r>
        <w:rPr>
          <w:sz w:val="22"/>
        </w:rPr>
        <w:t xml:space="preserve">Erhältlich ist </w:t>
      </w:r>
      <w:r w:rsidR="00EE05AF">
        <w:rPr>
          <w:sz w:val="22"/>
        </w:rPr>
        <w:t>der SVA1032X</w:t>
      </w:r>
      <w:r>
        <w:rPr>
          <w:sz w:val="22"/>
        </w:rPr>
        <w:t xml:space="preserve"> im </w:t>
      </w:r>
      <w:r>
        <w:rPr>
          <w:sz w:val="22"/>
          <w:szCs w:val="22"/>
        </w:rPr>
        <w:t>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0266AB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343C"/>
    <w:rsid w:val="00007979"/>
    <w:rsid w:val="0001530C"/>
    <w:rsid w:val="000266AB"/>
    <w:rsid w:val="000351BE"/>
    <w:rsid w:val="000420A8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276D9"/>
    <w:rsid w:val="00127DAC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82D75"/>
    <w:rsid w:val="0019224C"/>
    <w:rsid w:val="00194C78"/>
    <w:rsid w:val="00195E75"/>
    <w:rsid w:val="001965E4"/>
    <w:rsid w:val="001C2236"/>
    <w:rsid w:val="001C2326"/>
    <w:rsid w:val="001C771F"/>
    <w:rsid w:val="001D0DD1"/>
    <w:rsid w:val="001D0FD4"/>
    <w:rsid w:val="001D10F3"/>
    <w:rsid w:val="001D2634"/>
    <w:rsid w:val="001D4058"/>
    <w:rsid w:val="001D7783"/>
    <w:rsid w:val="001E0D93"/>
    <w:rsid w:val="001E350D"/>
    <w:rsid w:val="001E4A3A"/>
    <w:rsid w:val="001E4E4A"/>
    <w:rsid w:val="001F3B6A"/>
    <w:rsid w:val="00220FBF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1C5F"/>
    <w:rsid w:val="002E359F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31588"/>
    <w:rsid w:val="00347520"/>
    <w:rsid w:val="00351D8F"/>
    <w:rsid w:val="00355F74"/>
    <w:rsid w:val="00363420"/>
    <w:rsid w:val="00370BE6"/>
    <w:rsid w:val="00371725"/>
    <w:rsid w:val="00382015"/>
    <w:rsid w:val="00397C0A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3F772B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139"/>
    <w:rsid w:val="004563CC"/>
    <w:rsid w:val="00457CFB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190F"/>
    <w:rsid w:val="004D0287"/>
    <w:rsid w:val="004D3307"/>
    <w:rsid w:val="004D3726"/>
    <w:rsid w:val="004D70C7"/>
    <w:rsid w:val="004E0FAF"/>
    <w:rsid w:val="004E2B13"/>
    <w:rsid w:val="004E534F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4E87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5F"/>
    <w:rsid w:val="005D7387"/>
    <w:rsid w:val="005E13A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0839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56621"/>
    <w:rsid w:val="00660439"/>
    <w:rsid w:val="00662FEA"/>
    <w:rsid w:val="00676B88"/>
    <w:rsid w:val="00677E9C"/>
    <w:rsid w:val="00680C5D"/>
    <w:rsid w:val="00682BDB"/>
    <w:rsid w:val="006842CC"/>
    <w:rsid w:val="006922D1"/>
    <w:rsid w:val="006926E5"/>
    <w:rsid w:val="00694701"/>
    <w:rsid w:val="00694DAF"/>
    <w:rsid w:val="00697116"/>
    <w:rsid w:val="006A15A2"/>
    <w:rsid w:val="006A329A"/>
    <w:rsid w:val="006A783A"/>
    <w:rsid w:val="006B07ED"/>
    <w:rsid w:val="006B1F83"/>
    <w:rsid w:val="006B5DD8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4DBC"/>
    <w:rsid w:val="007953C3"/>
    <w:rsid w:val="007A6E0D"/>
    <w:rsid w:val="007A7D33"/>
    <w:rsid w:val="007B028F"/>
    <w:rsid w:val="007B7D6B"/>
    <w:rsid w:val="007C731B"/>
    <w:rsid w:val="007D34F2"/>
    <w:rsid w:val="007F0F36"/>
    <w:rsid w:val="007F3150"/>
    <w:rsid w:val="007F6EEF"/>
    <w:rsid w:val="008016C4"/>
    <w:rsid w:val="00802608"/>
    <w:rsid w:val="008151EF"/>
    <w:rsid w:val="00820579"/>
    <w:rsid w:val="0082192A"/>
    <w:rsid w:val="00821DF0"/>
    <w:rsid w:val="0082612B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4F1"/>
    <w:rsid w:val="008C1DFA"/>
    <w:rsid w:val="008C5873"/>
    <w:rsid w:val="008D1638"/>
    <w:rsid w:val="008E3F02"/>
    <w:rsid w:val="008E6C98"/>
    <w:rsid w:val="008F0D9C"/>
    <w:rsid w:val="008F28A6"/>
    <w:rsid w:val="0090717A"/>
    <w:rsid w:val="00907DAD"/>
    <w:rsid w:val="00907DF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156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2797E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76245"/>
    <w:rsid w:val="00A776BA"/>
    <w:rsid w:val="00A849A3"/>
    <w:rsid w:val="00A9058A"/>
    <w:rsid w:val="00A91381"/>
    <w:rsid w:val="00A9417F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5253"/>
    <w:rsid w:val="00AF6B19"/>
    <w:rsid w:val="00AF7721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677DD"/>
    <w:rsid w:val="00B74577"/>
    <w:rsid w:val="00B75E01"/>
    <w:rsid w:val="00B76346"/>
    <w:rsid w:val="00B82CC2"/>
    <w:rsid w:val="00B87FAB"/>
    <w:rsid w:val="00B907F4"/>
    <w:rsid w:val="00B9221F"/>
    <w:rsid w:val="00B925FC"/>
    <w:rsid w:val="00B92D7A"/>
    <w:rsid w:val="00B93EAB"/>
    <w:rsid w:val="00BA0CA6"/>
    <w:rsid w:val="00BB5754"/>
    <w:rsid w:val="00BB7D95"/>
    <w:rsid w:val="00BC245A"/>
    <w:rsid w:val="00BD4AC9"/>
    <w:rsid w:val="00BD50D9"/>
    <w:rsid w:val="00BE053D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2FEA"/>
    <w:rsid w:val="00C34596"/>
    <w:rsid w:val="00C352CF"/>
    <w:rsid w:val="00C4465E"/>
    <w:rsid w:val="00C474C8"/>
    <w:rsid w:val="00C51947"/>
    <w:rsid w:val="00C60D5B"/>
    <w:rsid w:val="00C70662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5CF7"/>
    <w:rsid w:val="00CA738B"/>
    <w:rsid w:val="00CB02D3"/>
    <w:rsid w:val="00CB3F3B"/>
    <w:rsid w:val="00CB6F29"/>
    <w:rsid w:val="00CC08F8"/>
    <w:rsid w:val="00CD1132"/>
    <w:rsid w:val="00CD3F51"/>
    <w:rsid w:val="00CD6DE0"/>
    <w:rsid w:val="00CE081C"/>
    <w:rsid w:val="00CE276A"/>
    <w:rsid w:val="00CE56F2"/>
    <w:rsid w:val="00CF1DCB"/>
    <w:rsid w:val="00CF54BF"/>
    <w:rsid w:val="00D019DB"/>
    <w:rsid w:val="00D101A2"/>
    <w:rsid w:val="00D1128C"/>
    <w:rsid w:val="00D15598"/>
    <w:rsid w:val="00D15B21"/>
    <w:rsid w:val="00D15CBA"/>
    <w:rsid w:val="00D238AB"/>
    <w:rsid w:val="00D26535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4EE0"/>
    <w:rsid w:val="00D84F91"/>
    <w:rsid w:val="00D90C67"/>
    <w:rsid w:val="00D90E29"/>
    <w:rsid w:val="00DA44A0"/>
    <w:rsid w:val="00DA7370"/>
    <w:rsid w:val="00DB1DC0"/>
    <w:rsid w:val="00DB2A4E"/>
    <w:rsid w:val="00DB616C"/>
    <w:rsid w:val="00DC2C75"/>
    <w:rsid w:val="00DC3D10"/>
    <w:rsid w:val="00DF7AE6"/>
    <w:rsid w:val="00E049CE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677AF"/>
    <w:rsid w:val="00E74F45"/>
    <w:rsid w:val="00E81723"/>
    <w:rsid w:val="00E81765"/>
    <w:rsid w:val="00E82C79"/>
    <w:rsid w:val="00E84553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05AF"/>
    <w:rsid w:val="00EE3623"/>
    <w:rsid w:val="00EE7C7C"/>
    <w:rsid w:val="00EF0DD1"/>
    <w:rsid w:val="00EF1CCF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2430-C366-406F-9B78-1FE5978E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157</cp:revision>
  <cp:lastPrinted>2018-03-07T09:44:00Z</cp:lastPrinted>
  <dcterms:created xsi:type="dcterms:W3CDTF">2019-02-07T11:36:00Z</dcterms:created>
  <dcterms:modified xsi:type="dcterms:W3CDTF">2019-10-02T10:44:00Z</dcterms:modified>
</cp:coreProperties>
</file>